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D960CB" w14:textId="10513C42" w:rsidR="00540D5A" w:rsidRPr="00D406AC" w:rsidRDefault="00540D5A" w:rsidP="00D406AC">
      <w:pPr>
        <w:jc w:val="center"/>
        <w:rPr>
          <w:rFonts w:ascii="Times New Roman" w:hAnsi="Times New Roman" w:cs="Times New Roman"/>
        </w:rPr>
      </w:pPr>
    </w:p>
    <w:p w14:paraId="17816747" w14:textId="77777777" w:rsidR="00D9423E" w:rsidRPr="00D406AC" w:rsidRDefault="00D9423E" w:rsidP="00D406AC">
      <w:pPr>
        <w:jc w:val="center"/>
        <w:rPr>
          <w:rFonts w:ascii="Times New Roman" w:hAnsi="Times New Roman" w:cs="Times New Roman"/>
        </w:rPr>
      </w:pPr>
    </w:p>
    <w:p w14:paraId="1572F491" w14:textId="77777777" w:rsidR="007A4070" w:rsidRPr="00D406AC" w:rsidRDefault="007A4070" w:rsidP="00D406AC">
      <w:pPr>
        <w:jc w:val="center"/>
      </w:pPr>
    </w:p>
    <w:p w14:paraId="761D1D17" w14:textId="1F8D9D99" w:rsidR="007A4070" w:rsidRPr="00D406AC" w:rsidRDefault="007D2A92" w:rsidP="00D406AC">
      <w:pPr>
        <w:pStyle w:val="DecHCase"/>
      </w:pPr>
      <w:r>
        <w:t>İKİNCİ DAİRE</w:t>
      </w:r>
    </w:p>
    <w:p w14:paraId="55F1E0F5" w14:textId="25619D0B" w:rsidR="007A4070" w:rsidRPr="00D406AC" w:rsidRDefault="00540D5A" w:rsidP="00D406AC">
      <w:pPr>
        <w:pStyle w:val="JuTitle"/>
      </w:pPr>
      <w:r w:rsidRPr="00D406AC">
        <w:t xml:space="preserve">VEDAT </w:t>
      </w:r>
      <w:r w:rsidR="00CD7C3A" w:rsidRPr="00D406AC">
        <w:t xml:space="preserve">ŞORLİ </w:t>
      </w:r>
      <w:r w:rsidR="00665C35">
        <w:t>v</w:t>
      </w:r>
      <w:r w:rsidRPr="00D406AC">
        <w:t xml:space="preserve">. </w:t>
      </w:r>
      <w:r w:rsidR="00665C35">
        <w:t>TÜRKİYE KARARI</w:t>
      </w:r>
    </w:p>
    <w:p w14:paraId="0697CBF8" w14:textId="0ADD10D2" w:rsidR="007A4070" w:rsidRPr="00D406AC" w:rsidRDefault="007A4070" w:rsidP="00D406AC">
      <w:pPr>
        <w:pStyle w:val="ECHRCoverTitle4"/>
      </w:pPr>
      <w:r w:rsidRPr="00D406AC">
        <w:t>(</w:t>
      </w:r>
      <w:r w:rsidR="00665C35">
        <w:t>Başvuru</w:t>
      </w:r>
      <w:r w:rsidR="00665C35">
        <w:rPr>
          <w:vertAlign w:val="superscript"/>
        </w:rPr>
        <w:t xml:space="preserve"> </w:t>
      </w:r>
      <w:r w:rsidR="00665C35">
        <w:t>no.</w:t>
      </w:r>
      <w:r w:rsidRPr="00D406AC">
        <w:t xml:space="preserve"> </w:t>
      </w:r>
      <w:r w:rsidR="00540D5A" w:rsidRPr="00D406AC">
        <w:t>42048/19</w:t>
      </w:r>
      <w:r w:rsidRPr="00D406AC">
        <w:t>)</w:t>
      </w:r>
    </w:p>
    <w:p w14:paraId="0878A56A" w14:textId="77777777" w:rsidR="007A4070" w:rsidRPr="00D406AC" w:rsidRDefault="007A4070" w:rsidP="00D406AC">
      <w:pPr>
        <w:pStyle w:val="DecHCase"/>
      </w:pPr>
    </w:p>
    <w:p w14:paraId="176E8F74" w14:textId="77777777" w:rsidR="007A4070" w:rsidRPr="00D406AC" w:rsidRDefault="007A4070" w:rsidP="00D406AC">
      <w:pPr>
        <w:pStyle w:val="DecHCase"/>
      </w:pPr>
    </w:p>
    <w:p w14:paraId="0782149C" w14:textId="77777777" w:rsidR="007A4070" w:rsidRPr="00D406AC" w:rsidRDefault="007A4070" w:rsidP="00D406AC">
      <w:pPr>
        <w:pStyle w:val="DecHCase"/>
      </w:pPr>
    </w:p>
    <w:p w14:paraId="7A3477A6" w14:textId="7D6D2B1A" w:rsidR="00D9423E" w:rsidRPr="00D406AC" w:rsidRDefault="00665C35" w:rsidP="00D406AC">
      <w:pPr>
        <w:pStyle w:val="DecHCase"/>
      </w:pPr>
      <w:r>
        <w:t>KARAR</w:t>
      </w:r>
      <w:r w:rsidR="007A4070" w:rsidRPr="00D406AC">
        <w:br/>
      </w:r>
    </w:p>
    <w:p w14:paraId="5C69B442" w14:textId="1569320C" w:rsidR="00D9423E" w:rsidRPr="00D406AC" w:rsidRDefault="007D2A92" w:rsidP="00D406AC">
      <w:pPr>
        <w:pStyle w:val="JuPara"/>
        <w:pBdr>
          <w:top w:val="single" w:sz="4" w:space="1" w:color="auto"/>
          <w:left w:val="single" w:sz="4" w:space="4" w:color="auto"/>
          <w:bottom w:val="single" w:sz="4" w:space="1" w:color="auto"/>
          <w:right w:val="single" w:sz="4" w:space="4" w:color="auto"/>
        </w:pBdr>
        <w:ind w:firstLine="0"/>
      </w:pPr>
      <w:r>
        <w:t>md. 10</w:t>
      </w:r>
      <w:r w:rsidR="00D9423E" w:rsidRPr="00D406AC">
        <w:t xml:space="preserve"> • </w:t>
      </w:r>
      <w:r>
        <w:t>İfade Özgürlüğü</w:t>
      </w:r>
      <w:r w:rsidR="00D9423E" w:rsidRPr="00D406AC">
        <w:t xml:space="preserve"> • </w:t>
      </w:r>
      <w:r>
        <w:t xml:space="preserve">Facebook üzerinden paylaşılan … yayınlar ile Cumhurbaşkanına hakaret sebebiyle verilen çeşitli ceza tedbirleri </w:t>
      </w:r>
      <w:r w:rsidR="00D9423E" w:rsidRPr="00D406AC">
        <w:t xml:space="preserve">• </w:t>
      </w:r>
      <w:r>
        <w:t xml:space="preserve">Hapis cezası hükmünün açıklanmasının beş yıl geri bırakılmasının caydırıcı etkisi </w:t>
      </w:r>
      <w:r w:rsidR="00D9423E" w:rsidRPr="00D406AC">
        <w:t xml:space="preserve">• </w:t>
      </w:r>
      <w:r w:rsidR="005D1DDE">
        <w:t>Sözleşme</w:t>
      </w:r>
      <w:r w:rsidR="005B0222">
        <w:t>’</w:t>
      </w:r>
      <w:r w:rsidR="005D1DDE">
        <w:t xml:space="preserve">ye ve Devlet Başkanının itibarını koruma </w:t>
      </w:r>
      <w:r w:rsidR="00113E70">
        <w:t>menfaatine</w:t>
      </w:r>
      <w:r w:rsidR="007A2557">
        <w:t xml:space="preserve"> uymayan suçlar</w:t>
      </w:r>
      <w:r w:rsidR="00694640">
        <w:t xml:space="preserve">la ilgili olarak Cumhurbaşkanının </w:t>
      </w:r>
      <w:r w:rsidR="00D10474">
        <w:t>daha fazla korunmasını sağlayan</w:t>
      </w:r>
      <w:r w:rsidR="00A4462D">
        <w:t xml:space="preserve"> özel hük</w:t>
      </w:r>
      <w:r w:rsidR="00113E70">
        <w:t>mün</w:t>
      </w:r>
      <w:r w:rsidR="00A4462D">
        <w:t xml:space="preserve"> uygulanması</w:t>
      </w:r>
      <w:r w:rsidR="00D9423E" w:rsidRPr="00D406AC">
        <w:t xml:space="preserve"> • </w:t>
      </w:r>
      <w:r>
        <w:t>Orantılılık</w:t>
      </w:r>
    </w:p>
    <w:p w14:paraId="49DF2399" w14:textId="0CD0F0A6" w:rsidR="00D9423E" w:rsidRPr="00CD4878" w:rsidRDefault="007D2A92" w:rsidP="00D406AC">
      <w:pPr>
        <w:pStyle w:val="JuPara"/>
        <w:pBdr>
          <w:top w:val="single" w:sz="4" w:space="1" w:color="auto"/>
          <w:left w:val="single" w:sz="4" w:space="4" w:color="auto"/>
          <w:bottom w:val="single" w:sz="4" w:space="1" w:color="auto"/>
          <w:right w:val="single" w:sz="4" w:space="4" w:color="auto"/>
        </w:pBdr>
        <w:ind w:firstLine="0"/>
      </w:pPr>
      <w:r w:rsidRPr="00CD4878">
        <w:t>md. 46</w:t>
      </w:r>
      <w:r w:rsidR="00D9423E" w:rsidRPr="00CD4878">
        <w:t xml:space="preserve"> • </w:t>
      </w:r>
      <w:r w:rsidRPr="00CD4878">
        <w:t>Genel tedbirler</w:t>
      </w:r>
      <w:r w:rsidR="00D9423E" w:rsidRPr="00CD4878">
        <w:t xml:space="preserve"> • </w:t>
      </w:r>
      <w:r w:rsidR="00CD4878" w:rsidRPr="00CD4878">
        <w:t>Uygun bir tazminat biçimi oluşturan özel hü</w:t>
      </w:r>
      <w:r w:rsidR="00CD4878">
        <w:t>kmün 10. maddeye uygunluğu</w:t>
      </w:r>
    </w:p>
    <w:p w14:paraId="10658E02" w14:textId="77777777" w:rsidR="00D9423E" w:rsidRPr="00CD4878" w:rsidRDefault="00D9423E" w:rsidP="00D406AC">
      <w:pPr>
        <w:pStyle w:val="DecHCase"/>
      </w:pPr>
    </w:p>
    <w:p w14:paraId="085FC850" w14:textId="64819CAD" w:rsidR="007A4070" w:rsidRPr="00D406AC" w:rsidRDefault="00665C35" w:rsidP="00D406AC">
      <w:pPr>
        <w:pStyle w:val="DecHCase"/>
      </w:pPr>
      <w:r>
        <w:t>STRAZBURG</w:t>
      </w:r>
    </w:p>
    <w:p w14:paraId="5D945863" w14:textId="750A758A" w:rsidR="007A4070" w:rsidRPr="00D406AC" w:rsidRDefault="00540D5A" w:rsidP="00D406AC">
      <w:pPr>
        <w:pStyle w:val="DecHCase"/>
      </w:pPr>
      <w:r w:rsidRPr="00D406AC">
        <w:t xml:space="preserve">19 </w:t>
      </w:r>
      <w:r w:rsidR="00665C35">
        <w:t>Ekim</w:t>
      </w:r>
      <w:r w:rsidRPr="00D406AC">
        <w:t xml:space="preserve"> 2021</w:t>
      </w:r>
    </w:p>
    <w:p w14:paraId="7A6425E3" w14:textId="61AE29E4" w:rsidR="00516B59" w:rsidRPr="00D406AC" w:rsidRDefault="00665C35" w:rsidP="00665C35">
      <w:pPr>
        <w:ind w:left="720"/>
        <w:jc w:val="center"/>
        <w:rPr>
          <w:rFonts w:ascii="Times New Roman" w:hAnsi="Times New Roman" w:cs="Times New Roman"/>
          <w:sz w:val="22"/>
        </w:rPr>
        <w:sectPr w:rsidR="00516B59" w:rsidRPr="00D406AC" w:rsidSect="00902601">
          <w:headerReference w:type="default" r:id="rId11"/>
          <w:footerReference w:type="even" r:id="rId12"/>
          <w:footerReference w:type="default" r:id="rId13"/>
          <w:headerReference w:type="first" r:id="rId14"/>
          <w:footerReference w:type="first" r:id="rId15"/>
          <w:footnotePr>
            <w:numRestart w:val="eachSect"/>
          </w:footnotePr>
          <w:endnotePr>
            <w:numFmt w:val="decimal"/>
          </w:endnotePr>
          <w:pgSz w:w="11906" w:h="16838" w:code="9"/>
          <w:pgMar w:top="2274" w:right="2274" w:bottom="2274" w:left="2274" w:header="1701" w:footer="720" w:gutter="0"/>
          <w:pgNumType w:start="1"/>
          <w:cols w:space="720"/>
          <w:noEndnote/>
          <w:titlePg/>
        </w:sectPr>
      </w:pPr>
      <w:r w:rsidRPr="00665C35">
        <w:rPr>
          <w:i/>
          <w:sz w:val="22"/>
        </w:rPr>
        <w:t>İşbu karar, Sözleşme’nin 44 § 2 maddesinde öngörülen koşullar</w:t>
      </w:r>
      <w:r>
        <w:rPr>
          <w:i/>
          <w:sz w:val="22"/>
        </w:rPr>
        <w:t xml:space="preserve"> </w:t>
      </w:r>
      <w:r w:rsidRPr="00665C35">
        <w:rPr>
          <w:i/>
          <w:sz w:val="22"/>
        </w:rPr>
        <w:t>çerçevesinde kesinleşecektir. Bazı şekli değişikliklere tabi tutulabilir</w:t>
      </w:r>
      <w:r>
        <w:rPr>
          <w:i/>
          <w:sz w:val="22"/>
        </w:rPr>
        <w:t>.</w:t>
      </w:r>
    </w:p>
    <w:p w14:paraId="0247F706" w14:textId="77777777" w:rsidR="00C817CA" w:rsidRPr="00E32801" w:rsidRDefault="00C817CA" w:rsidP="00C817CA">
      <w:pPr>
        <w:jc w:val="both"/>
        <w:rPr>
          <w:rFonts w:asciiTheme="majorHAnsi" w:eastAsia="Times New Roman" w:hAnsiTheme="majorHAnsi" w:cstheme="majorHAnsi"/>
          <w:b/>
          <w:bCs/>
          <w:color w:val="000000"/>
          <w:lang w:eastAsia="tr-TR"/>
        </w:rPr>
      </w:pPr>
      <w:bookmarkStart w:id="0" w:name="_Hlk36127227"/>
      <w:bookmarkStart w:id="1" w:name="_Hlk85729744"/>
      <w:r w:rsidRPr="00E32801">
        <w:rPr>
          <w:rFonts w:asciiTheme="majorHAnsi" w:eastAsia="Times New Roman" w:hAnsiTheme="majorHAnsi" w:cstheme="majorHAnsi"/>
          <w:b/>
          <w:bCs/>
          <w:color w:val="000000"/>
          <w:lang w:eastAsia="tr-TR"/>
        </w:rPr>
        <w:lastRenderedPageBreak/>
        <w:t>Vedat Şorli v. Türkiye davasında,</w:t>
      </w:r>
    </w:p>
    <w:p w14:paraId="27FC0A77" w14:textId="4820CB0A" w:rsidR="00C817CA" w:rsidRPr="00E32801" w:rsidRDefault="00C817CA" w:rsidP="00C817CA">
      <w:pPr>
        <w:shd w:val="clear" w:color="auto" w:fill="FFFFFF"/>
        <w:jc w:val="both"/>
        <w:rPr>
          <w:rFonts w:asciiTheme="majorHAnsi" w:eastAsia="Times New Roman" w:hAnsiTheme="majorHAnsi" w:cstheme="majorHAnsi"/>
          <w:i/>
          <w:color w:val="000000"/>
          <w:lang w:eastAsia="tr-TR"/>
        </w:rPr>
      </w:pPr>
      <w:bookmarkStart w:id="2" w:name="_Hlk85729779"/>
      <w:bookmarkEnd w:id="1"/>
      <w:r w:rsidRPr="00E32801">
        <w:rPr>
          <w:rFonts w:asciiTheme="majorHAnsi" w:eastAsia="Times New Roman" w:hAnsiTheme="majorHAnsi" w:cstheme="majorHAnsi"/>
          <w:i/>
          <w:color w:val="000000"/>
          <w:lang w:eastAsia="tr-TR"/>
        </w:rPr>
        <w:t>Başkan</w:t>
      </w:r>
    </w:p>
    <w:p w14:paraId="0B2A5259" w14:textId="77777777" w:rsidR="00C817CA" w:rsidRPr="00E32801" w:rsidRDefault="00C817CA" w:rsidP="00C817CA">
      <w:pPr>
        <w:shd w:val="clear" w:color="auto" w:fill="FFFFFF"/>
        <w:rPr>
          <w:rFonts w:asciiTheme="majorHAnsi" w:eastAsia="Times New Roman" w:hAnsiTheme="majorHAnsi" w:cstheme="majorHAnsi"/>
          <w:color w:val="000000"/>
          <w:lang w:eastAsia="tr-TR"/>
        </w:rPr>
      </w:pPr>
      <w:r w:rsidRPr="00E32801">
        <w:rPr>
          <w:rFonts w:asciiTheme="majorHAnsi" w:eastAsia="Times New Roman" w:hAnsiTheme="majorHAnsi" w:cstheme="majorHAnsi"/>
          <w:color w:val="000000"/>
          <w:lang w:eastAsia="tr-TR"/>
        </w:rPr>
        <w:t xml:space="preserve">Jon Fridrik Kjølbro, </w:t>
      </w:r>
    </w:p>
    <w:p w14:paraId="71A5CF02" w14:textId="77777777" w:rsidR="00C817CA" w:rsidRPr="00E32801" w:rsidRDefault="00C817CA" w:rsidP="00C817CA">
      <w:pPr>
        <w:shd w:val="clear" w:color="auto" w:fill="FFFFFF"/>
        <w:rPr>
          <w:rFonts w:asciiTheme="majorHAnsi" w:eastAsia="Times New Roman" w:hAnsiTheme="majorHAnsi" w:cstheme="majorHAnsi"/>
          <w:color w:val="000000"/>
          <w:lang w:eastAsia="tr-TR"/>
        </w:rPr>
      </w:pPr>
      <w:r w:rsidRPr="00E32801">
        <w:rPr>
          <w:rFonts w:asciiTheme="majorHAnsi" w:eastAsia="Times New Roman" w:hAnsiTheme="majorHAnsi" w:cstheme="majorHAnsi"/>
          <w:i/>
          <w:color w:val="000000"/>
          <w:lang w:eastAsia="tr-TR"/>
        </w:rPr>
        <w:t>Hakimler</w:t>
      </w:r>
      <w:r w:rsidRPr="00E32801">
        <w:rPr>
          <w:rFonts w:asciiTheme="majorHAnsi" w:eastAsia="Times New Roman" w:hAnsiTheme="majorHAnsi" w:cstheme="majorHAnsi"/>
          <w:i/>
          <w:color w:val="000000"/>
          <w:lang w:eastAsia="tr-TR"/>
        </w:rPr>
        <w:br/>
      </w:r>
      <w:r w:rsidRPr="00E32801">
        <w:rPr>
          <w:rFonts w:asciiTheme="majorHAnsi" w:eastAsia="Times New Roman" w:hAnsiTheme="majorHAnsi" w:cstheme="majorHAnsi"/>
          <w:color w:val="000000"/>
          <w:lang w:eastAsia="tr-TR"/>
        </w:rPr>
        <w:t>Carlo Ranzoni,</w:t>
      </w:r>
      <w:r w:rsidRPr="00E32801">
        <w:rPr>
          <w:rFonts w:asciiTheme="majorHAnsi" w:eastAsia="Times New Roman" w:hAnsiTheme="majorHAnsi" w:cstheme="majorHAnsi"/>
          <w:color w:val="000000"/>
          <w:lang w:eastAsia="tr-TR"/>
        </w:rPr>
        <w:br/>
        <w:t>Valeriu Griţco,</w:t>
      </w:r>
      <w:r w:rsidRPr="00E32801">
        <w:rPr>
          <w:rFonts w:asciiTheme="majorHAnsi" w:eastAsia="Times New Roman" w:hAnsiTheme="majorHAnsi" w:cstheme="majorHAnsi"/>
          <w:color w:val="000000"/>
          <w:lang w:eastAsia="tr-TR"/>
        </w:rPr>
        <w:br/>
        <w:t>Egidijus Kūris,</w:t>
      </w:r>
      <w:r w:rsidRPr="00E32801">
        <w:rPr>
          <w:rFonts w:asciiTheme="majorHAnsi" w:eastAsia="Times New Roman" w:hAnsiTheme="majorHAnsi" w:cstheme="majorHAnsi"/>
          <w:color w:val="000000"/>
          <w:lang w:eastAsia="tr-TR"/>
        </w:rPr>
        <w:br/>
        <w:t>Branko Lubarda,</w:t>
      </w:r>
      <w:r w:rsidRPr="00E32801">
        <w:rPr>
          <w:rFonts w:asciiTheme="majorHAnsi" w:eastAsia="Times New Roman" w:hAnsiTheme="majorHAnsi" w:cstheme="majorHAnsi"/>
          <w:color w:val="000000"/>
          <w:lang w:eastAsia="tr-TR"/>
        </w:rPr>
        <w:br/>
        <w:t>Pauliine Koskelo,</w:t>
      </w:r>
      <w:r w:rsidRPr="00E32801">
        <w:rPr>
          <w:rFonts w:asciiTheme="majorHAnsi" w:eastAsia="Times New Roman" w:hAnsiTheme="majorHAnsi" w:cstheme="majorHAnsi"/>
          <w:color w:val="000000"/>
          <w:lang w:eastAsia="tr-TR"/>
        </w:rPr>
        <w:br/>
        <w:t xml:space="preserve">Saadet Yüksel </w:t>
      </w:r>
    </w:p>
    <w:p w14:paraId="01038627" w14:textId="77777777" w:rsidR="00C817CA" w:rsidRPr="00E32801" w:rsidRDefault="00C817CA" w:rsidP="00C817CA">
      <w:pPr>
        <w:shd w:val="clear" w:color="auto" w:fill="FFFFFF"/>
        <w:jc w:val="both"/>
        <w:rPr>
          <w:rFonts w:asciiTheme="majorHAnsi" w:eastAsia="Times New Roman" w:hAnsiTheme="majorHAnsi" w:cstheme="majorHAnsi"/>
          <w:color w:val="000000"/>
          <w:lang w:eastAsia="tr-TR"/>
        </w:rPr>
      </w:pPr>
      <w:r w:rsidRPr="00E32801">
        <w:rPr>
          <w:rFonts w:asciiTheme="majorHAnsi" w:eastAsia="Times New Roman" w:hAnsiTheme="majorHAnsi" w:cstheme="majorHAnsi"/>
          <w:color w:val="000000"/>
          <w:lang w:eastAsia="tr-TR"/>
        </w:rPr>
        <w:t xml:space="preserve">ve </w:t>
      </w:r>
      <w:r w:rsidRPr="00E32801">
        <w:rPr>
          <w:rFonts w:asciiTheme="majorHAnsi" w:eastAsia="Times New Roman" w:hAnsiTheme="majorHAnsi" w:cstheme="majorHAnsi"/>
          <w:i/>
          <w:color w:val="000000"/>
          <w:lang w:eastAsia="tr-TR"/>
        </w:rPr>
        <w:t>Yazı İşleri Müdürü</w:t>
      </w:r>
      <w:r w:rsidRPr="00E32801">
        <w:rPr>
          <w:rFonts w:asciiTheme="majorHAnsi" w:eastAsia="Times New Roman" w:hAnsiTheme="majorHAnsi" w:cstheme="majorHAnsi"/>
          <w:color w:val="000000"/>
          <w:lang w:eastAsia="tr-TR"/>
        </w:rPr>
        <w:t xml:space="preserve"> Stanley Naismith katılımıyla Daire olarak toplanan Avrupa İnsan Hakları Mahkemesi,</w:t>
      </w:r>
    </w:p>
    <w:p w14:paraId="7F3E348C" w14:textId="77777777" w:rsidR="00C817CA" w:rsidRPr="00E32801" w:rsidRDefault="00C817CA" w:rsidP="00C817CA">
      <w:pPr>
        <w:shd w:val="clear" w:color="auto" w:fill="FFFFFF"/>
        <w:jc w:val="both"/>
        <w:rPr>
          <w:rFonts w:asciiTheme="majorHAnsi" w:eastAsia="Times New Roman" w:hAnsiTheme="majorHAnsi" w:cstheme="majorHAnsi"/>
          <w:color w:val="000000"/>
          <w:lang w:eastAsia="tr-TR"/>
        </w:rPr>
      </w:pPr>
      <w:bookmarkStart w:id="3" w:name="_Hlk85729853"/>
      <w:bookmarkEnd w:id="2"/>
      <w:r w:rsidRPr="00E32801">
        <w:rPr>
          <w:rFonts w:asciiTheme="majorHAnsi" w:eastAsia="Times New Roman" w:hAnsiTheme="majorHAnsi" w:cstheme="majorHAnsi"/>
          <w:color w:val="000000"/>
          <w:lang w:eastAsia="tr-TR"/>
        </w:rPr>
        <w:t>Türkiye Cumhuriyeti Devleti aleyhine Türk vatandaşı olan Vedat Şorli’nin (“başvurucu”) Avrupa İnsan Hakları Mahkemesi’ne (“AİHM” veya “Mahkeme”), İnsan Hakları ve Temel Özgürlüklerin Korunmasına ilişkin Sözleşme’nin (“Sözleşme”) 34. maddesi uyarınca, 10 Temmuz 2019 tarihinde yapmış olduğu başvuruyu (no. 42048/19),</w:t>
      </w:r>
    </w:p>
    <w:p w14:paraId="1072C969" w14:textId="77777777" w:rsidR="00C817CA" w:rsidRPr="00E32801" w:rsidRDefault="00C817CA" w:rsidP="00C817CA">
      <w:pPr>
        <w:shd w:val="clear" w:color="auto" w:fill="FFFFFF"/>
        <w:jc w:val="both"/>
        <w:rPr>
          <w:rFonts w:asciiTheme="majorHAnsi" w:eastAsia="Times New Roman" w:hAnsiTheme="majorHAnsi" w:cstheme="majorHAnsi"/>
          <w:color w:val="000000"/>
          <w:lang w:eastAsia="tr-TR"/>
        </w:rPr>
      </w:pPr>
      <w:bookmarkStart w:id="4" w:name="_Hlk85729907"/>
      <w:bookmarkEnd w:id="3"/>
      <w:r w:rsidRPr="00E32801">
        <w:rPr>
          <w:rFonts w:asciiTheme="majorHAnsi" w:eastAsia="Times New Roman" w:hAnsiTheme="majorHAnsi" w:cstheme="majorHAnsi"/>
          <w:color w:val="000000"/>
          <w:lang w:eastAsia="tr-TR"/>
        </w:rPr>
        <w:t>Başvurunun Türk Hükümetine (“Hükümet”) bildirilmesi kararını</w:t>
      </w:r>
      <w:bookmarkEnd w:id="4"/>
      <w:r w:rsidRPr="00E32801">
        <w:rPr>
          <w:rFonts w:asciiTheme="majorHAnsi" w:eastAsia="Times New Roman" w:hAnsiTheme="majorHAnsi" w:cstheme="majorHAnsi"/>
          <w:color w:val="000000"/>
          <w:lang w:eastAsia="tr-TR"/>
        </w:rPr>
        <w:t>,</w:t>
      </w:r>
    </w:p>
    <w:p w14:paraId="1EA58B67" w14:textId="77777777" w:rsidR="00C817CA" w:rsidRPr="00E32801" w:rsidRDefault="00C817CA" w:rsidP="00C817CA">
      <w:pPr>
        <w:shd w:val="clear" w:color="auto" w:fill="FFFFFF"/>
        <w:jc w:val="both"/>
        <w:rPr>
          <w:rFonts w:asciiTheme="majorHAnsi" w:eastAsia="Times New Roman" w:hAnsiTheme="majorHAnsi" w:cstheme="majorHAnsi"/>
          <w:color w:val="000000"/>
          <w:lang w:eastAsia="tr-TR"/>
        </w:rPr>
      </w:pPr>
      <w:bookmarkStart w:id="5" w:name="_Hlk85729937"/>
      <w:r w:rsidRPr="00E32801">
        <w:rPr>
          <w:rFonts w:asciiTheme="majorHAnsi" w:eastAsia="Times New Roman" w:hAnsiTheme="majorHAnsi" w:cstheme="majorHAnsi"/>
          <w:color w:val="000000"/>
          <w:lang w:eastAsia="tr-TR"/>
        </w:rPr>
        <w:t>Tarafların beyanlarını,</w:t>
      </w:r>
    </w:p>
    <w:p w14:paraId="4FE1A21E" w14:textId="77777777" w:rsidR="00C817CA" w:rsidRPr="00E32801" w:rsidRDefault="00C817CA" w:rsidP="00C817CA">
      <w:pPr>
        <w:shd w:val="clear" w:color="auto" w:fill="FFFFFF"/>
        <w:jc w:val="both"/>
        <w:rPr>
          <w:rFonts w:asciiTheme="majorHAnsi" w:eastAsia="Times New Roman" w:hAnsiTheme="majorHAnsi" w:cstheme="majorHAnsi"/>
          <w:color w:val="000000"/>
          <w:lang w:eastAsia="tr-TR"/>
        </w:rPr>
      </w:pPr>
      <w:r w:rsidRPr="00E32801">
        <w:rPr>
          <w:rFonts w:asciiTheme="majorHAnsi" w:eastAsia="Times New Roman" w:hAnsiTheme="majorHAnsi" w:cstheme="majorHAnsi"/>
          <w:color w:val="000000"/>
          <w:lang w:eastAsia="tr-TR"/>
        </w:rPr>
        <w:t xml:space="preserve">Sözleşme’nin 36. maddesinin 2. fıkrası ve Mahkeme İç Tüzüğü’nün 44. maddesinin 3. fıkrası uyarınca Bölüm Başkanı tarafından başvuruya müdahil olma hakkı verilen İfade Özgürlüğü Derneği’nin </w:t>
      </w:r>
      <w:hyperlink r:id="rId16" w:history="1">
        <w:r w:rsidRPr="00E32801">
          <w:rPr>
            <w:rStyle w:val="Kpr"/>
            <w:rFonts w:asciiTheme="majorHAnsi" w:eastAsia="Times New Roman" w:hAnsiTheme="majorHAnsi" w:cstheme="majorHAnsi"/>
            <w:lang w:eastAsia="tr-TR"/>
          </w:rPr>
          <w:t>görüşlerini</w:t>
        </w:r>
      </w:hyperlink>
      <w:r w:rsidRPr="00E32801">
        <w:rPr>
          <w:rFonts w:asciiTheme="majorHAnsi" w:eastAsia="Times New Roman" w:hAnsiTheme="majorHAnsi" w:cstheme="majorHAnsi"/>
          <w:color w:val="000000"/>
          <w:lang w:eastAsia="tr-TR"/>
        </w:rPr>
        <w:t xml:space="preserve"> göz önüne alarak,</w:t>
      </w:r>
    </w:p>
    <w:p w14:paraId="1E153F7A" w14:textId="77777777" w:rsidR="00C817CA" w:rsidRPr="00E32801" w:rsidRDefault="00C817CA" w:rsidP="00C817CA">
      <w:pPr>
        <w:shd w:val="clear" w:color="auto" w:fill="FFFFFF"/>
        <w:jc w:val="both"/>
        <w:rPr>
          <w:rFonts w:asciiTheme="majorHAnsi" w:eastAsia="Times New Roman" w:hAnsiTheme="majorHAnsi" w:cstheme="majorHAnsi"/>
          <w:color w:val="000000"/>
          <w:lang w:eastAsia="tr-TR"/>
        </w:rPr>
      </w:pPr>
      <w:r w:rsidRPr="00E32801">
        <w:rPr>
          <w:rFonts w:asciiTheme="majorHAnsi" w:eastAsia="Times New Roman" w:hAnsiTheme="majorHAnsi" w:cstheme="majorHAnsi"/>
          <w:color w:val="000000"/>
          <w:lang w:eastAsia="tr-TR"/>
        </w:rPr>
        <w:t>14 Eylül 2021 tarihinde yapılan kapalı müzakerenin sonrasında,</w:t>
      </w:r>
    </w:p>
    <w:p w14:paraId="3030F859" w14:textId="77777777" w:rsidR="00C817CA" w:rsidRPr="00E32801" w:rsidRDefault="00C817CA" w:rsidP="00C817CA">
      <w:pPr>
        <w:shd w:val="clear" w:color="auto" w:fill="FFFFFF"/>
        <w:jc w:val="both"/>
        <w:rPr>
          <w:rFonts w:asciiTheme="majorHAnsi" w:eastAsia="Times New Roman" w:hAnsiTheme="majorHAnsi" w:cstheme="majorHAnsi"/>
          <w:color w:val="000000"/>
          <w:lang w:eastAsia="tr-TR"/>
        </w:rPr>
      </w:pPr>
      <w:r w:rsidRPr="00E32801">
        <w:rPr>
          <w:rFonts w:asciiTheme="majorHAnsi" w:eastAsia="Times New Roman" w:hAnsiTheme="majorHAnsi" w:cstheme="majorHAnsi"/>
          <w:color w:val="000000"/>
          <w:lang w:eastAsia="tr-TR"/>
        </w:rPr>
        <w:t>En son belirtilen tarihte kabul edilen aşağıdaki kararı vermiştir.</w:t>
      </w:r>
    </w:p>
    <w:bookmarkEnd w:id="5"/>
    <w:p w14:paraId="61B43DAE" w14:textId="77777777" w:rsidR="00C817CA" w:rsidRPr="007F04BC" w:rsidRDefault="00C817CA" w:rsidP="007F04BC">
      <w:pPr>
        <w:shd w:val="clear" w:color="auto" w:fill="FFFFFF"/>
        <w:spacing w:before="280" w:after="240" w:line="276" w:lineRule="auto"/>
        <w:jc w:val="both"/>
        <w:rPr>
          <w:rFonts w:eastAsia="Times New Roman" w:cstheme="minorHAnsi"/>
          <w:color w:val="000000"/>
          <w:lang w:eastAsia="tr-TR"/>
        </w:rPr>
      </w:pPr>
      <w:r w:rsidRPr="007F04BC">
        <w:rPr>
          <w:rFonts w:eastAsia="Times New Roman" w:cstheme="minorHAnsi"/>
          <w:color w:val="000000"/>
          <w:lang w:eastAsia="tr-TR"/>
        </w:rPr>
        <w:t xml:space="preserve">GİRİŞ </w:t>
      </w:r>
    </w:p>
    <w:p w14:paraId="5AAF23C3" w14:textId="5B5C3A93" w:rsidR="00C817CA" w:rsidRPr="007F04BC" w:rsidRDefault="00C817CA" w:rsidP="007F04BC">
      <w:pPr>
        <w:shd w:val="clear" w:color="auto" w:fill="FFFFFF"/>
        <w:spacing w:line="276" w:lineRule="auto"/>
        <w:ind w:firstLine="284"/>
        <w:jc w:val="both"/>
        <w:rPr>
          <w:rFonts w:eastAsia="Times New Roman" w:cstheme="minorHAnsi"/>
          <w:color w:val="000000"/>
          <w:lang w:eastAsia="tr-TR"/>
        </w:rPr>
      </w:pPr>
      <w:r w:rsidRPr="007F04BC">
        <w:rPr>
          <w:rFonts w:eastAsia="Times New Roman" w:cstheme="minorHAnsi"/>
          <w:color w:val="000000"/>
          <w:lang w:eastAsia="tr-TR"/>
        </w:rPr>
        <w:t>1.  </w:t>
      </w:r>
      <w:bookmarkStart w:id="6" w:name="_Hlk85729982"/>
      <w:r w:rsidRPr="007F04BC">
        <w:rPr>
          <w:rFonts w:eastAsia="Times New Roman" w:cstheme="minorHAnsi"/>
          <w:color w:val="000000"/>
          <w:lang w:eastAsia="tr-TR"/>
        </w:rPr>
        <w:t>Başvuru, Facebook hesabında yaptığı iki paylaşım nedeniyle başvurucu hakkında Cumhurbaşkanı</w:t>
      </w:r>
      <w:r w:rsidR="00372AAA" w:rsidRPr="007F04BC">
        <w:rPr>
          <w:rFonts w:eastAsia="Times New Roman" w:cstheme="minorHAnsi"/>
          <w:color w:val="000000"/>
          <w:lang w:eastAsia="tr-TR"/>
        </w:rPr>
        <w:t>’</w:t>
      </w:r>
      <w:r w:rsidRPr="007F04BC">
        <w:rPr>
          <w:rFonts w:eastAsia="Times New Roman" w:cstheme="minorHAnsi"/>
          <w:color w:val="000000"/>
          <w:lang w:eastAsia="tr-TR"/>
        </w:rPr>
        <w:t>na hakaret suçundan başlatılan ve sonunda başvurucuya verilen 11 ay 20 gün hapis cezasında hükmün açıklanmasının geri bırakılmasına karar verilen ceza yargılamasına ilişkindir</w:t>
      </w:r>
      <w:bookmarkEnd w:id="6"/>
      <w:r w:rsidRPr="007F04BC">
        <w:rPr>
          <w:rFonts w:eastAsia="Times New Roman" w:cstheme="minorHAnsi"/>
          <w:color w:val="000000"/>
          <w:lang w:eastAsia="tr-TR"/>
        </w:rPr>
        <w:t>.</w:t>
      </w:r>
    </w:p>
    <w:p w14:paraId="0BFBCABB" w14:textId="77777777" w:rsidR="00C817CA" w:rsidRPr="007F04BC" w:rsidRDefault="00C817CA" w:rsidP="007F04BC">
      <w:pPr>
        <w:shd w:val="clear" w:color="auto" w:fill="FFFFFF"/>
        <w:spacing w:before="280" w:after="240" w:line="276" w:lineRule="auto"/>
        <w:jc w:val="both"/>
        <w:rPr>
          <w:rFonts w:eastAsia="Times New Roman" w:cstheme="minorHAnsi"/>
          <w:color w:val="000000"/>
          <w:lang w:eastAsia="tr-TR"/>
        </w:rPr>
      </w:pPr>
      <w:r w:rsidRPr="007F04BC">
        <w:rPr>
          <w:rFonts w:eastAsia="Times New Roman" w:cstheme="minorHAnsi"/>
          <w:caps/>
          <w:color w:val="000000"/>
          <w:lang w:eastAsia="tr-TR"/>
        </w:rPr>
        <w:t>OLAYLAR</w:t>
      </w:r>
    </w:p>
    <w:p w14:paraId="559D2812" w14:textId="77777777" w:rsidR="00C817CA" w:rsidRPr="007F04BC" w:rsidRDefault="00C817CA" w:rsidP="007F04BC">
      <w:pPr>
        <w:pStyle w:val="s899b3e47"/>
        <w:shd w:val="clear" w:color="auto" w:fill="FFFFFF"/>
        <w:spacing w:before="0" w:beforeAutospacing="0" w:after="0" w:afterAutospacing="0" w:line="276" w:lineRule="auto"/>
        <w:ind w:firstLine="284"/>
        <w:jc w:val="both"/>
        <w:rPr>
          <w:rStyle w:val="s68f5eaef"/>
          <w:rFonts w:asciiTheme="minorHAnsi" w:hAnsiTheme="minorHAnsi" w:cstheme="minorHAnsi"/>
          <w:color w:val="000000"/>
        </w:rPr>
      </w:pPr>
      <w:r w:rsidRPr="007F04BC">
        <w:rPr>
          <w:rStyle w:val="s68f5eaef"/>
          <w:rFonts w:asciiTheme="minorHAnsi" w:hAnsiTheme="minorHAnsi" w:cstheme="minorHAnsi"/>
          <w:color w:val="000000"/>
        </w:rPr>
        <w:t>2.  </w:t>
      </w:r>
      <w:bookmarkStart w:id="7" w:name="_Hlk85730010"/>
      <w:r w:rsidRPr="007F04BC">
        <w:rPr>
          <w:rStyle w:val="s68f5eaef"/>
          <w:rFonts w:asciiTheme="minorHAnsi" w:hAnsiTheme="minorHAnsi" w:cstheme="minorHAnsi"/>
          <w:color w:val="000000"/>
        </w:rPr>
        <w:t>Başvurucu 1989 doğumludur ve İstanbul’da yaşamaktadır. Başvurucu, avukat İ. Akmeşe tarafından temsil edilmiştir.</w:t>
      </w:r>
      <w:bookmarkEnd w:id="7"/>
      <w:r w:rsidRPr="007F04BC">
        <w:rPr>
          <w:rStyle w:val="s68f5eaef"/>
          <w:rFonts w:asciiTheme="minorHAnsi" w:hAnsiTheme="minorHAnsi" w:cstheme="minorHAnsi"/>
          <w:color w:val="000000"/>
        </w:rPr>
        <w:t xml:space="preserve"> </w:t>
      </w:r>
    </w:p>
    <w:p w14:paraId="091726F7" w14:textId="77777777" w:rsidR="00C817CA" w:rsidRPr="007F04BC" w:rsidRDefault="00C817CA" w:rsidP="007F04BC">
      <w:pPr>
        <w:pStyle w:val="s899b3e47"/>
        <w:shd w:val="clear" w:color="auto" w:fill="FFFFFF"/>
        <w:spacing w:before="0" w:beforeAutospacing="0" w:after="0" w:afterAutospacing="0" w:line="276" w:lineRule="auto"/>
        <w:ind w:firstLine="284"/>
        <w:jc w:val="both"/>
        <w:rPr>
          <w:rStyle w:val="s68f5eaef"/>
          <w:rFonts w:asciiTheme="minorHAnsi" w:hAnsiTheme="minorHAnsi" w:cstheme="minorHAnsi"/>
          <w:color w:val="000000"/>
        </w:rPr>
      </w:pPr>
      <w:r w:rsidRPr="007F04BC">
        <w:rPr>
          <w:rStyle w:val="s68f5eaef"/>
          <w:rFonts w:asciiTheme="minorHAnsi" w:hAnsiTheme="minorHAnsi" w:cstheme="minorHAnsi"/>
          <w:color w:val="000000"/>
        </w:rPr>
        <w:t>3.  </w:t>
      </w:r>
      <w:bookmarkStart w:id="8" w:name="_Hlk85730028"/>
      <w:bookmarkStart w:id="9" w:name="_Hlk36127123"/>
      <w:r w:rsidRPr="007F04BC">
        <w:rPr>
          <w:rStyle w:val="s68f5eaef"/>
          <w:rFonts w:asciiTheme="minorHAnsi" w:hAnsiTheme="minorHAnsi" w:cstheme="minorHAnsi"/>
          <w:color w:val="000000"/>
        </w:rPr>
        <w:t>Türk Hükümeti (“Hükümet”) Adalet Bakanlığı İnsan Hakları Dairesi Başkanı ve Avrupa İnsan Hakları Mahkemesi nezdinde Hükümet Ajanı olan Hacı Ali Açıkgül tarafından temsil edilmiştir.</w:t>
      </w:r>
      <w:bookmarkEnd w:id="8"/>
    </w:p>
    <w:bookmarkEnd w:id="9"/>
    <w:p w14:paraId="583E7ED6" w14:textId="1B67173B" w:rsidR="00C817CA" w:rsidRPr="007F04BC" w:rsidRDefault="00C817CA" w:rsidP="007F04BC">
      <w:pPr>
        <w:pStyle w:val="s899b3e47"/>
        <w:shd w:val="clear" w:color="auto" w:fill="FFFFFF"/>
        <w:spacing w:before="0" w:beforeAutospacing="0" w:after="0" w:afterAutospacing="0" w:line="276" w:lineRule="auto"/>
        <w:ind w:firstLine="284"/>
        <w:jc w:val="both"/>
        <w:rPr>
          <w:rFonts w:asciiTheme="minorHAnsi" w:hAnsiTheme="minorHAnsi" w:cstheme="minorHAnsi"/>
          <w:color w:val="000000"/>
        </w:rPr>
      </w:pPr>
    </w:p>
    <w:p w14:paraId="5CF2F5A5" w14:textId="77777777" w:rsidR="00123BF3" w:rsidRPr="007F04BC" w:rsidRDefault="00123BF3" w:rsidP="007F04BC">
      <w:pPr>
        <w:pStyle w:val="s899b3e47"/>
        <w:shd w:val="clear" w:color="auto" w:fill="FFFFFF"/>
        <w:spacing w:before="0" w:beforeAutospacing="0" w:after="0" w:afterAutospacing="0" w:line="276" w:lineRule="auto"/>
        <w:ind w:firstLine="284"/>
        <w:jc w:val="both"/>
        <w:rPr>
          <w:rFonts w:asciiTheme="minorHAnsi" w:hAnsiTheme="minorHAnsi" w:cstheme="minorHAnsi"/>
          <w:color w:val="000000"/>
        </w:rPr>
      </w:pPr>
    </w:p>
    <w:p w14:paraId="7094BEEA" w14:textId="7BDC1CF9" w:rsidR="00C817CA" w:rsidRPr="007F04BC" w:rsidRDefault="00C817CA" w:rsidP="007F04BC">
      <w:pPr>
        <w:spacing w:line="276" w:lineRule="auto"/>
        <w:jc w:val="both"/>
        <w:rPr>
          <w:rFonts w:cstheme="minorHAnsi"/>
        </w:rPr>
      </w:pPr>
      <w:r w:rsidRPr="007F04BC">
        <w:rPr>
          <w:rFonts w:cstheme="minorHAnsi"/>
        </w:rPr>
        <w:t xml:space="preserve">I. </w:t>
      </w:r>
      <w:bookmarkStart w:id="10" w:name="_Hlk85730057"/>
      <w:r w:rsidRPr="007F04BC">
        <w:rPr>
          <w:rFonts w:cstheme="minorHAnsi"/>
        </w:rPr>
        <w:t xml:space="preserve">FACEBOOK HESABINDA PAYLAŞTIĞI İÇERİKLER NEDENİYLE BAŞVURUCU HAKKINDA BAŞLATILAN CEZA YARGILAMALARI </w:t>
      </w:r>
      <w:bookmarkEnd w:id="10"/>
    </w:p>
    <w:p w14:paraId="4650667B" w14:textId="77777777" w:rsidR="00123BF3" w:rsidRPr="007F04BC" w:rsidRDefault="00123BF3" w:rsidP="007F04BC">
      <w:pPr>
        <w:spacing w:line="276" w:lineRule="auto"/>
        <w:jc w:val="both"/>
        <w:rPr>
          <w:rFonts w:cstheme="minorHAnsi"/>
        </w:rPr>
      </w:pPr>
    </w:p>
    <w:p w14:paraId="156D1BC9" w14:textId="34955222" w:rsidR="00C817CA" w:rsidRPr="007F04BC" w:rsidRDefault="00C817CA" w:rsidP="007F04BC">
      <w:pPr>
        <w:spacing w:line="276" w:lineRule="auto"/>
        <w:ind w:firstLine="284"/>
        <w:jc w:val="both"/>
        <w:rPr>
          <w:rFonts w:cstheme="minorHAnsi"/>
        </w:rPr>
      </w:pPr>
      <w:r w:rsidRPr="007F04BC">
        <w:rPr>
          <w:rFonts w:cstheme="minorHAnsi"/>
        </w:rPr>
        <w:t xml:space="preserve">4. </w:t>
      </w:r>
      <w:bookmarkStart w:id="11" w:name="_Hlk85730133"/>
      <w:r w:rsidRPr="007F04BC">
        <w:rPr>
          <w:rFonts w:cstheme="minorHAnsi"/>
        </w:rPr>
        <w:t xml:space="preserve">20 Aralık 2016 tarihinde İstanbul Emniyet Müdürlüğü Bilgi Teknolojileri ve Haberleşme Şube Müdürlüğü’ne başvurucunun Facebook hesabında yaptığı paylaşımlarla ilgili </w:t>
      </w:r>
      <w:r w:rsidR="008C67D8" w:rsidRPr="007F04BC">
        <w:rPr>
          <w:rFonts w:cstheme="minorHAnsi"/>
        </w:rPr>
        <w:t>şikâyet</w:t>
      </w:r>
      <w:r w:rsidRPr="007F04BC">
        <w:rPr>
          <w:rFonts w:cstheme="minorHAnsi"/>
        </w:rPr>
        <w:t xml:space="preserve">te bulunulmuştur. </w:t>
      </w:r>
      <w:bookmarkEnd w:id="11"/>
    </w:p>
    <w:p w14:paraId="15CF9C67" w14:textId="77777777" w:rsidR="00C817CA" w:rsidRPr="007F04BC" w:rsidRDefault="00C817CA" w:rsidP="007F04BC">
      <w:pPr>
        <w:spacing w:line="276" w:lineRule="auto"/>
        <w:ind w:firstLine="284"/>
        <w:jc w:val="both"/>
        <w:rPr>
          <w:rFonts w:cstheme="minorHAnsi"/>
        </w:rPr>
      </w:pPr>
      <w:r w:rsidRPr="007F04BC">
        <w:rPr>
          <w:rFonts w:cstheme="minorHAnsi"/>
        </w:rPr>
        <w:t xml:space="preserve">5. </w:t>
      </w:r>
      <w:bookmarkStart w:id="12" w:name="_Hlk85730166"/>
      <w:r w:rsidRPr="007F04BC">
        <w:rPr>
          <w:rFonts w:cstheme="minorHAnsi"/>
        </w:rPr>
        <w:t>31 Ocak 2017 tarihinde, açık kaynak araştırmasının ardından, Terörle Mücadele Şubesi memurları araştırma raporu hazırlamıştır. Bu rapor, diğer şeylerin yanı sıra, başvurucunun Facebook hesabında paylaştığı, aşağıda yer verilen iki içeriği içermektedir:</w:t>
      </w:r>
      <w:bookmarkEnd w:id="12"/>
    </w:p>
    <w:p w14:paraId="58AFDF9A" w14:textId="77777777" w:rsidR="00C817CA" w:rsidRPr="007F04BC" w:rsidRDefault="00C817CA" w:rsidP="007F04BC">
      <w:pPr>
        <w:spacing w:line="276" w:lineRule="auto"/>
        <w:jc w:val="both"/>
        <w:rPr>
          <w:rFonts w:cstheme="minorHAnsi"/>
        </w:rPr>
      </w:pPr>
      <w:bookmarkStart w:id="13" w:name="_Hlk85730187"/>
      <w:r w:rsidRPr="007F04BC">
        <w:rPr>
          <w:rFonts w:cstheme="minorHAnsi"/>
        </w:rPr>
        <w:t xml:space="preserve">- İlk içerik, başvurucu tarafından 10 Ekim 2014 tarihinde paylaşılmıştır ve eski Amerika Birleşik Devletleri başkanı Barack Obama’nın kadın kıyafetleriyle tasvir edilen Türkiye Cumhuriyeti Cumhurbaşkanı’nı öptüğünü gösteren bir karikatürden oluşmaktadır. Cumhurbaşkanı, Kürtçe yazılmış bir konuşma balonunda “Suriye’nin tapusunu benim adıma yapacak mısın kocacım?” demektedir. </w:t>
      </w:r>
    </w:p>
    <w:bookmarkEnd w:id="13"/>
    <w:p w14:paraId="6E21FC05" w14:textId="77777777" w:rsidR="00C817CA" w:rsidRPr="007F04BC" w:rsidRDefault="00C817CA" w:rsidP="007F04BC">
      <w:pPr>
        <w:spacing w:line="276" w:lineRule="auto"/>
        <w:jc w:val="both"/>
        <w:rPr>
          <w:rFonts w:cstheme="minorHAnsi"/>
        </w:rPr>
      </w:pPr>
      <w:r w:rsidRPr="007F04BC">
        <w:rPr>
          <w:rFonts w:cstheme="minorHAnsi"/>
        </w:rPr>
        <w:t xml:space="preserve">- </w:t>
      </w:r>
      <w:bookmarkStart w:id="14" w:name="_Hlk85730225"/>
      <w:r w:rsidRPr="007F04BC">
        <w:rPr>
          <w:rFonts w:cstheme="minorHAnsi"/>
        </w:rPr>
        <w:t>İkinci içerik, başvurucu tarafından 15 Mart 2016 tarihinde paylaşılmıştır ve aşağıda yer verilen yorumla birlikte Cumhurbaşkanı ile eski Başbakan’ın fotoğraflarını içermektedir:</w:t>
      </w:r>
      <w:bookmarkEnd w:id="14"/>
    </w:p>
    <w:p w14:paraId="28CE4D4B" w14:textId="77777777" w:rsidR="00C817CA" w:rsidRPr="007F04BC" w:rsidRDefault="00C817CA" w:rsidP="007F04BC">
      <w:pPr>
        <w:spacing w:line="276" w:lineRule="auto"/>
        <w:jc w:val="both"/>
        <w:rPr>
          <w:rFonts w:cstheme="minorHAnsi"/>
        </w:rPr>
      </w:pPr>
      <w:bookmarkStart w:id="15" w:name="_Hlk85730279"/>
      <w:r w:rsidRPr="007F04BC">
        <w:rPr>
          <w:rFonts w:cstheme="minorHAnsi"/>
        </w:rPr>
        <w:t>“Kandan beslenen iktidarınız yerin dibine batsın / Can aldıkça sağlamlaştırdığınız koltuklarınız yerin dibine batsın / Çaldığınız hayallerle yaşadığınız lüks hayatlarınız yerin dibine batsın / Başkanlığınız da, iktidarınız da, hırslarınız da yerin dibine batsın”</w:t>
      </w:r>
    </w:p>
    <w:bookmarkEnd w:id="15"/>
    <w:p w14:paraId="0D780B4B" w14:textId="40839DF6" w:rsidR="00C817CA" w:rsidRPr="007F04BC" w:rsidRDefault="00C817CA" w:rsidP="007F04BC">
      <w:pPr>
        <w:spacing w:line="276" w:lineRule="auto"/>
        <w:ind w:firstLine="284"/>
        <w:jc w:val="both"/>
        <w:rPr>
          <w:rFonts w:cstheme="minorHAnsi"/>
        </w:rPr>
      </w:pPr>
      <w:r w:rsidRPr="007F04BC">
        <w:rPr>
          <w:rFonts w:cstheme="minorHAnsi"/>
        </w:rPr>
        <w:t xml:space="preserve">6. </w:t>
      </w:r>
      <w:bookmarkStart w:id="16" w:name="_Hlk85730302"/>
      <w:r w:rsidRPr="007F04BC">
        <w:rPr>
          <w:rFonts w:cstheme="minorHAnsi"/>
        </w:rPr>
        <w:t xml:space="preserve">18 Mayıs 2017 tarihinde başvurucu, Facebook hesabında yaptığı paylaşımlar nedeniyle Cumhurbaşkanına hakaret etme ve örgüt propagandası yapma suçlarını işlediği şüphesiyle gözaltına alınmıştır. </w:t>
      </w:r>
      <w:r w:rsidR="00DD0556" w:rsidRPr="007F04BC">
        <w:rPr>
          <w:rFonts w:cstheme="minorHAnsi"/>
        </w:rPr>
        <w:t xml:space="preserve">Ertesi gün </w:t>
      </w:r>
      <w:r w:rsidRPr="007F04BC">
        <w:rPr>
          <w:rFonts w:cstheme="minorHAnsi"/>
        </w:rPr>
        <w:t xml:space="preserve">Bakırköy Sulh Ceza Hakimliği, başvurucunun bu iki suça ilişkin iki ayrı davada iki kez tutuklanmasına karar vermiştir. </w:t>
      </w:r>
      <w:bookmarkEnd w:id="16"/>
    </w:p>
    <w:p w14:paraId="5155F5F1" w14:textId="77777777" w:rsidR="00C817CA" w:rsidRPr="007F04BC" w:rsidRDefault="00C817CA" w:rsidP="007F04BC">
      <w:pPr>
        <w:spacing w:line="276" w:lineRule="auto"/>
        <w:ind w:firstLine="284"/>
        <w:jc w:val="both"/>
        <w:rPr>
          <w:rFonts w:cstheme="minorHAnsi"/>
        </w:rPr>
      </w:pPr>
      <w:r w:rsidRPr="007F04BC">
        <w:rPr>
          <w:rFonts w:cstheme="minorHAnsi"/>
        </w:rPr>
        <w:t xml:space="preserve">7. </w:t>
      </w:r>
      <w:bookmarkStart w:id="17" w:name="_Hlk85730342"/>
      <w:r w:rsidRPr="007F04BC">
        <w:rPr>
          <w:rFonts w:cstheme="minorHAnsi"/>
        </w:rPr>
        <w:t>11 Temmuz 2017 tarihinde, Bakırköy savcılığı, yukarıda yer verilen iki Facebook paylaşımı nedeniyle başvurucunun Cumhurbaşkanına hakaret suçundan cezalandırılmasını istemiştir.</w:t>
      </w:r>
      <w:bookmarkEnd w:id="17"/>
      <w:r w:rsidRPr="007F04BC">
        <w:rPr>
          <w:rFonts w:cstheme="minorHAnsi"/>
        </w:rPr>
        <w:t xml:space="preserve"> </w:t>
      </w:r>
    </w:p>
    <w:p w14:paraId="69C8F325" w14:textId="77777777" w:rsidR="00C817CA" w:rsidRPr="007F04BC" w:rsidRDefault="00C817CA" w:rsidP="007F04BC">
      <w:pPr>
        <w:spacing w:line="276" w:lineRule="auto"/>
        <w:ind w:firstLine="284"/>
        <w:jc w:val="both"/>
        <w:rPr>
          <w:rFonts w:cstheme="minorHAnsi"/>
        </w:rPr>
      </w:pPr>
      <w:r w:rsidRPr="007F04BC">
        <w:rPr>
          <w:rFonts w:cstheme="minorHAnsi"/>
        </w:rPr>
        <w:t xml:space="preserve">8. </w:t>
      </w:r>
      <w:bookmarkStart w:id="18" w:name="_Hlk85730390"/>
      <w:r w:rsidRPr="007F04BC">
        <w:rPr>
          <w:rFonts w:cstheme="minorHAnsi"/>
        </w:rPr>
        <w:t xml:space="preserve">21 Temmuz 2017 tarihli duruşmanın sonunda Bakırköy Asliye Ceza Mahkemesi (“Asliye Ceza Mahkemesi) başvurucunun Cumhurbaşkanına hakaret suçuyla ilgili davada serbest bırakılmasına karar vermiştir. Ancak başvurucu terör örgütünün propagandasını yapma suçuyla ilgili davada hala tutuklu olduğu için serbest kalamamıştır. </w:t>
      </w:r>
      <w:bookmarkEnd w:id="18"/>
    </w:p>
    <w:p w14:paraId="5D24AF0D" w14:textId="77777777" w:rsidR="00C817CA" w:rsidRPr="007F04BC" w:rsidRDefault="00C817CA" w:rsidP="007F04BC">
      <w:pPr>
        <w:spacing w:line="276" w:lineRule="auto"/>
        <w:ind w:firstLine="284"/>
        <w:jc w:val="both"/>
        <w:rPr>
          <w:rFonts w:cstheme="minorHAnsi"/>
        </w:rPr>
      </w:pPr>
      <w:r w:rsidRPr="007F04BC">
        <w:rPr>
          <w:rFonts w:cstheme="minorHAnsi"/>
        </w:rPr>
        <w:lastRenderedPageBreak/>
        <w:t xml:space="preserve">9. </w:t>
      </w:r>
      <w:bookmarkStart w:id="19" w:name="_Hlk85730412"/>
      <w:r w:rsidRPr="007F04BC">
        <w:rPr>
          <w:rFonts w:cstheme="minorHAnsi"/>
        </w:rPr>
        <w:t>Aynı duruşmada Asliye Ceza Mahkemesi, başvurucuyu Cumhurbaşkanına hakaret suçundan suçlu bulmuş ve Türk Ceza Kanunu’nun 299. maddesinin 1. fıkrası uyarınca 11 ay 20 gün hapis cezası ile cezalandırılmasına karar vermiştir. Ancak Mahkeme, Ceza Muhakemesi Kanunu’nun 231. maddesi altında (bakınız aşağıda yer alan 15. paragraf) hükmün açıklanmasının beş yıl boyunca geri bırakılmasına ve denetim süresi içinde kasten yeni bir suç işlenmediği ve denetimli serbestlik tedbirine ilişkin yükümlülük mevcut ise buna uygun davranıldığı takdirde açıklanması geri bırakılan hükmün ortadan kaldırılmasına ve davanın düşürülmesine karar vermiştir.</w:t>
      </w:r>
      <w:bookmarkEnd w:id="19"/>
      <w:r w:rsidRPr="007F04BC">
        <w:rPr>
          <w:rFonts w:cstheme="minorHAnsi"/>
        </w:rPr>
        <w:t xml:space="preserve"> </w:t>
      </w:r>
    </w:p>
    <w:p w14:paraId="635C730B" w14:textId="77777777" w:rsidR="00C817CA" w:rsidRPr="007F04BC" w:rsidRDefault="00C817CA" w:rsidP="007F04BC">
      <w:pPr>
        <w:spacing w:line="276" w:lineRule="auto"/>
        <w:jc w:val="both"/>
        <w:rPr>
          <w:rFonts w:cstheme="minorHAnsi"/>
        </w:rPr>
      </w:pPr>
      <w:bookmarkStart w:id="20" w:name="_Hlk85730436"/>
      <w:r w:rsidRPr="007F04BC">
        <w:rPr>
          <w:rFonts w:cstheme="minorHAnsi"/>
        </w:rPr>
        <w:t>Kararın gerekçesi aşağıdaki gibidir:</w:t>
      </w:r>
    </w:p>
    <w:bookmarkEnd w:id="20"/>
    <w:p w14:paraId="6CB6475B" w14:textId="77777777" w:rsidR="00C817CA" w:rsidRPr="007F04BC" w:rsidRDefault="00C817CA" w:rsidP="007F04BC">
      <w:pPr>
        <w:spacing w:line="276" w:lineRule="auto"/>
        <w:jc w:val="both"/>
        <w:rPr>
          <w:rFonts w:cstheme="minorHAnsi"/>
        </w:rPr>
      </w:pPr>
      <w:r w:rsidRPr="007F04BC">
        <w:rPr>
          <w:rFonts w:cstheme="minorHAnsi"/>
        </w:rPr>
        <w:t>"(...)</w:t>
      </w:r>
    </w:p>
    <w:p w14:paraId="27DC7083" w14:textId="77777777" w:rsidR="00C817CA" w:rsidRPr="007F04BC" w:rsidRDefault="00C817CA" w:rsidP="007F04BC">
      <w:pPr>
        <w:spacing w:line="276" w:lineRule="auto"/>
        <w:jc w:val="both"/>
        <w:rPr>
          <w:rFonts w:cstheme="minorHAnsi"/>
        </w:rPr>
      </w:pPr>
      <w:bookmarkStart w:id="21" w:name="_Hlk85730463"/>
      <w:r w:rsidRPr="007F04BC">
        <w:rPr>
          <w:rFonts w:cstheme="minorHAnsi"/>
        </w:rPr>
        <w:t>Sanık ve avukatı Facebook’ta paylaşılan söz konusu içeriklerin hakaret suçunun maddi unsurlarını oluşturmadığını, ifade özgürlüğü kapsamına girdiğini ve [yalnızca] sert ve incitici eleştirilerden oluştuğunu belirtse de mahkememizce bu içeriklerin davacının onur, haysiyet ve itibarına saldırıyı amaçladığı değerlendirilmiştir. (…) Sanığın Facebook hesabında paylaştığı içerikler Cumhurbaşkanının onurunu, haysiyetini ve itibarını yaralayıcı niteliktedir. Bu içeriklerin sanığın ifade özgürlüğü altında korunduğunu düşünmek mümkün değildir. (…) İçerikler, kamu yararına ilişkin bir sorun üzerine fikir alışverişi niteliğinde olmayıp herkes tarafından görülebilecek şekilde sosyal medyada paylaşıldığı için eleştiri sınırlarının aşıldığına ve ifade özgürlüğü kapsamında görülemeyeceğine karar verilmiştir.</w:t>
      </w:r>
    </w:p>
    <w:bookmarkEnd w:id="21"/>
    <w:p w14:paraId="4ED50E35" w14:textId="77777777" w:rsidR="00C817CA" w:rsidRPr="007F04BC" w:rsidRDefault="00C817CA" w:rsidP="007F04BC">
      <w:pPr>
        <w:spacing w:line="276" w:lineRule="auto"/>
        <w:jc w:val="both"/>
        <w:rPr>
          <w:rFonts w:cstheme="minorHAnsi"/>
        </w:rPr>
      </w:pPr>
      <w:r w:rsidRPr="007F04BC">
        <w:rPr>
          <w:rFonts w:cstheme="minorHAnsi"/>
        </w:rPr>
        <w:t>(...)"</w:t>
      </w:r>
    </w:p>
    <w:p w14:paraId="5E8EDF11" w14:textId="278BFFA9" w:rsidR="00C817CA" w:rsidRPr="007F04BC" w:rsidRDefault="00C817CA" w:rsidP="007F04BC">
      <w:pPr>
        <w:spacing w:line="276" w:lineRule="auto"/>
        <w:ind w:firstLine="284"/>
        <w:jc w:val="both"/>
        <w:rPr>
          <w:rFonts w:cstheme="minorHAnsi"/>
        </w:rPr>
      </w:pPr>
      <w:r w:rsidRPr="007F04BC">
        <w:rPr>
          <w:rFonts w:cstheme="minorHAnsi"/>
        </w:rPr>
        <w:t xml:space="preserve">10. </w:t>
      </w:r>
      <w:bookmarkStart w:id="22" w:name="_Hlk85730487"/>
      <w:r w:rsidRPr="007F04BC">
        <w:rPr>
          <w:rFonts w:cstheme="minorHAnsi"/>
        </w:rPr>
        <w:t xml:space="preserve">20 Eylül 2017 tarihinde Bakırköy Ağır Ceza Mahkemesi, tüm dosya kapsamı birlikte değerlendirildiği ve Ceza Muhakemesi Kanunu’nun 231. maddesinde belirtilen şartların gerçekleşmiş olduğu görüldüğü gerekçesiyle Asliye Ceza Mahkemesi’nin hükmün açıklanmasının geri bırakılması kararının usule ve yasaya uygun olduğunu belirterek başvurucunun itirazını reddetmiştir. </w:t>
      </w:r>
      <w:bookmarkEnd w:id="22"/>
    </w:p>
    <w:p w14:paraId="40DBC2E6" w14:textId="77777777" w:rsidR="00860EEA" w:rsidRPr="007F04BC" w:rsidRDefault="00860EEA" w:rsidP="007F04BC">
      <w:pPr>
        <w:spacing w:line="276" w:lineRule="auto"/>
        <w:ind w:firstLine="284"/>
        <w:jc w:val="both"/>
        <w:rPr>
          <w:rFonts w:cstheme="minorHAnsi"/>
        </w:rPr>
      </w:pPr>
    </w:p>
    <w:p w14:paraId="2A108AE2" w14:textId="0A88CED8" w:rsidR="00C817CA" w:rsidRPr="007F04BC" w:rsidRDefault="00C817CA" w:rsidP="007F04BC">
      <w:pPr>
        <w:spacing w:line="276" w:lineRule="auto"/>
        <w:jc w:val="both"/>
        <w:rPr>
          <w:rFonts w:cstheme="minorHAnsi"/>
        </w:rPr>
      </w:pPr>
      <w:r w:rsidRPr="007F04BC">
        <w:rPr>
          <w:rFonts w:cstheme="minorHAnsi"/>
        </w:rPr>
        <w:t xml:space="preserve">II. </w:t>
      </w:r>
      <w:bookmarkStart w:id="23" w:name="_Hlk85730503"/>
      <w:r w:rsidRPr="007F04BC">
        <w:rPr>
          <w:rFonts w:cstheme="minorHAnsi"/>
        </w:rPr>
        <w:t xml:space="preserve">BAŞVURUCU TARAFINDAN ANAYASA MAHKEMESİ ÖNÜNE TAŞINAN BİREYSEL BAŞVURU  </w:t>
      </w:r>
      <w:bookmarkEnd w:id="23"/>
    </w:p>
    <w:p w14:paraId="3D73E912" w14:textId="77777777" w:rsidR="00860EEA" w:rsidRPr="007F04BC" w:rsidRDefault="00860EEA" w:rsidP="007F04BC">
      <w:pPr>
        <w:spacing w:line="276" w:lineRule="auto"/>
        <w:jc w:val="both"/>
        <w:rPr>
          <w:rFonts w:cstheme="minorHAnsi"/>
        </w:rPr>
      </w:pPr>
    </w:p>
    <w:p w14:paraId="57ACD5AB" w14:textId="320417A3" w:rsidR="00C817CA" w:rsidRPr="007F04BC" w:rsidRDefault="00C817CA" w:rsidP="007F04BC">
      <w:pPr>
        <w:spacing w:line="276" w:lineRule="auto"/>
        <w:ind w:firstLine="284"/>
        <w:jc w:val="both"/>
        <w:rPr>
          <w:rFonts w:cstheme="minorHAnsi"/>
        </w:rPr>
      </w:pPr>
      <w:r w:rsidRPr="007F04BC">
        <w:rPr>
          <w:rFonts w:cstheme="minorHAnsi"/>
        </w:rPr>
        <w:t xml:space="preserve">11. </w:t>
      </w:r>
      <w:bookmarkStart w:id="24" w:name="_Hlk85730542"/>
      <w:r w:rsidRPr="007F04BC">
        <w:rPr>
          <w:rFonts w:cstheme="minorHAnsi"/>
        </w:rPr>
        <w:t xml:space="preserve">3 Kasım 2017 tarihinde başvurucu Anayasa Mahkemesi’ne bireysel başvuruda bulunmuştur. Başvurucu, Facebook hesabında siyasi konulara ilişkin düşünce açıklaması içerdiğini düşündüğü </w:t>
      </w:r>
      <w:r w:rsidR="00CE3EBB" w:rsidRPr="007F04BC">
        <w:rPr>
          <w:rFonts w:cstheme="minorHAnsi"/>
        </w:rPr>
        <w:t>paylaşımları nedeniyle iki ay iki</w:t>
      </w:r>
      <w:r w:rsidRPr="007F04BC">
        <w:rPr>
          <w:rFonts w:cstheme="minorHAnsi"/>
        </w:rPr>
        <w:t xml:space="preserve"> gün tutuklu kalmasının, 11 ay 20 gün hapis cezası ile </w:t>
      </w:r>
      <w:r w:rsidRPr="007F04BC">
        <w:rPr>
          <w:rFonts w:cstheme="minorHAnsi"/>
        </w:rPr>
        <w:lastRenderedPageBreak/>
        <w:t>cezalandırılmasının ve hükmün açıklanmasını</w:t>
      </w:r>
      <w:r w:rsidR="00CE3EBB" w:rsidRPr="007F04BC">
        <w:rPr>
          <w:rFonts w:cstheme="minorHAnsi"/>
        </w:rPr>
        <w:t>n geriye bırakılması nedeniyle beş</w:t>
      </w:r>
      <w:r w:rsidRPr="007F04BC">
        <w:rPr>
          <w:rFonts w:cstheme="minorHAnsi"/>
        </w:rPr>
        <w:t xml:space="preserve"> yıl süreyle denetim altına alınmasının ifade özgürlüğünü ihlal ettiğini ileri sürmüştür. </w:t>
      </w:r>
      <w:bookmarkEnd w:id="24"/>
    </w:p>
    <w:p w14:paraId="2DA715E8" w14:textId="0FCE8A9F" w:rsidR="00C817CA" w:rsidRPr="007F04BC" w:rsidRDefault="00C817CA" w:rsidP="007F04BC">
      <w:pPr>
        <w:spacing w:line="276" w:lineRule="auto"/>
        <w:ind w:firstLine="284"/>
        <w:jc w:val="both"/>
        <w:rPr>
          <w:rFonts w:cstheme="minorHAnsi"/>
        </w:rPr>
      </w:pPr>
      <w:r w:rsidRPr="007F04BC">
        <w:rPr>
          <w:rFonts w:cstheme="minorHAnsi"/>
        </w:rPr>
        <w:t xml:space="preserve">12. </w:t>
      </w:r>
      <w:bookmarkStart w:id="25" w:name="_Hlk85730564"/>
      <w:r w:rsidRPr="007F04BC">
        <w:rPr>
          <w:rFonts w:cstheme="minorHAnsi"/>
        </w:rPr>
        <w:t>21 Mart 2019 tarihinde Anayasa Mahkemesi, başvurucunun başvurusundaki iddialarını temellendiremediğini, bu sebeple başvurunun açıkça dayanaktan yoksun olması nedeniyle kabul edilemez bulunmasına karar vermiştir.</w:t>
      </w:r>
      <w:bookmarkEnd w:id="25"/>
    </w:p>
    <w:p w14:paraId="1AF1799B" w14:textId="2CDC5242" w:rsidR="00540D5A" w:rsidRPr="007F04BC" w:rsidRDefault="00241D35" w:rsidP="007F04BC">
      <w:pPr>
        <w:pStyle w:val="JuParaLast"/>
        <w:spacing w:line="276" w:lineRule="auto"/>
        <w:ind w:firstLine="0"/>
        <w:rPr>
          <w:rFonts w:cstheme="minorHAnsi"/>
        </w:rPr>
      </w:pPr>
      <w:r w:rsidRPr="007F04BC">
        <w:rPr>
          <w:rFonts w:cstheme="minorHAnsi"/>
        </w:rPr>
        <w:t>İLGİLİ YEREL VE ULUSLARARASI YASAL ÇERÇEVE</w:t>
      </w:r>
    </w:p>
    <w:bookmarkEnd w:id="0"/>
    <w:p w14:paraId="3CD2ED0D" w14:textId="481B8829" w:rsidR="00540D5A" w:rsidRPr="007F04BC" w:rsidRDefault="00241D35" w:rsidP="007F04BC">
      <w:pPr>
        <w:pStyle w:val="JuParaLast"/>
        <w:numPr>
          <w:ilvl w:val="0"/>
          <w:numId w:val="25"/>
        </w:numPr>
        <w:spacing w:line="276" w:lineRule="auto"/>
        <w:rPr>
          <w:rFonts w:cstheme="minorHAnsi"/>
        </w:rPr>
      </w:pPr>
      <w:r w:rsidRPr="007F04BC">
        <w:rPr>
          <w:rFonts w:cstheme="minorHAnsi"/>
        </w:rPr>
        <w:t>ULUSAL MEVZUAT</w:t>
      </w:r>
    </w:p>
    <w:p w14:paraId="02DCD8FA" w14:textId="301250F5" w:rsidR="00540D5A" w:rsidRPr="007F04BC" w:rsidRDefault="003E1EE7" w:rsidP="007F04BC">
      <w:pPr>
        <w:pStyle w:val="JuParaLast"/>
        <w:numPr>
          <w:ilvl w:val="0"/>
          <w:numId w:val="26"/>
        </w:numPr>
        <w:spacing w:line="276" w:lineRule="auto"/>
        <w:rPr>
          <w:rFonts w:cstheme="minorHAnsi"/>
          <w:b/>
        </w:rPr>
      </w:pPr>
      <w:r w:rsidRPr="007F04BC">
        <w:rPr>
          <w:rFonts w:cstheme="minorHAnsi"/>
          <w:b/>
        </w:rPr>
        <w:t>Ceza Kanunu</w:t>
      </w:r>
    </w:p>
    <w:p w14:paraId="6D7CACB5" w14:textId="1E7B945B" w:rsidR="00540D5A" w:rsidRPr="007F04BC" w:rsidRDefault="00540D5A" w:rsidP="007F04BC">
      <w:pPr>
        <w:pStyle w:val="JuPara"/>
        <w:spacing w:line="276" w:lineRule="auto"/>
        <w:rPr>
          <w:rFonts w:eastAsiaTheme="minorEastAsia" w:cstheme="minorHAnsi"/>
        </w:rPr>
      </w:pPr>
      <w:r w:rsidRPr="007F04BC">
        <w:rPr>
          <w:rFonts w:eastAsiaTheme="minorEastAsia" w:cstheme="minorHAnsi"/>
        </w:rPr>
        <w:fldChar w:fldCharType="begin"/>
      </w:r>
      <w:r w:rsidRPr="007F04BC">
        <w:rPr>
          <w:rFonts w:eastAsiaTheme="minorEastAsia" w:cstheme="minorHAnsi"/>
        </w:rPr>
        <w:instrText xml:space="preserve"> SEQ level0 \*arabic </w:instrText>
      </w:r>
      <w:r w:rsidRPr="007F04BC">
        <w:rPr>
          <w:rFonts w:eastAsiaTheme="minorEastAsia" w:cstheme="minorHAnsi"/>
        </w:rPr>
        <w:fldChar w:fldCharType="separate"/>
      </w:r>
      <w:r w:rsidR="00D406AC" w:rsidRPr="007F04BC">
        <w:rPr>
          <w:rFonts w:eastAsiaTheme="minorEastAsia" w:cstheme="minorHAnsi"/>
          <w:noProof/>
        </w:rPr>
        <w:t>13</w:t>
      </w:r>
      <w:r w:rsidRPr="007F04BC">
        <w:rPr>
          <w:rFonts w:eastAsiaTheme="minorEastAsia" w:cstheme="minorHAnsi"/>
        </w:rPr>
        <w:fldChar w:fldCharType="end"/>
      </w:r>
      <w:r w:rsidRPr="007F04BC">
        <w:rPr>
          <w:rFonts w:eastAsiaTheme="minorEastAsia" w:cstheme="minorHAnsi"/>
        </w:rPr>
        <w:t>.  </w:t>
      </w:r>
      <w:r w:rsidR="003E1EE7" w:rsidRPr="007F04BC">
        <w:rPr>
          <w:rFonts w:eastAsiaTheme="minorEastAsia" w:cstheme="minorHAnsi"/>
        </w:rPr>
        <w:t>Ceza Kanunu</w:t>
      </w:r>
      <w:r w:rsidR="00241D35" w:rsidRPr="007F04BC">
        <w:rPr>
          <w:rFonts w:eastAsiaTheme="minorEastAsia" w:cstheme="minorHAnsi"/>
        </w:rPr>
        <w:t>’</w:t>
      </w:r>
      <w:r w:rsidR="003E1EE7" w:rsidRPr="007F04BC">
        <w:rPr>
          <w:rFonts w:eastAsiaTheme="minorEastAsia" w:cstheme="minorHAnsi"/>
        </w:rPr>
        <w:t>n</w:t>
      </w:r>
      <w:r w:rsidR="00665C35" w:rsidRPr="007F04BC">
        <w:rPr>
          <w:rFonts w:eastAsiaTheme="minorEastAsia" w:cstheme="minorHAnsi"/>
        </w:rPr>
        <w:t>un</w:t>
      </w:r>
      <w:r w:rsidR="003E1EE7" w:rsidRPr="007F04BC">
        <w:rPr>
          <w:rFonts w:eastAsiaTheme="minorEastAsia" w:cstheme="minorHAnsi"/>
        </w:rPr>
        <w:t xml:space="preserve"> (1 Haziran 2005 tarihinde yürürlüğe giren 26 Eylül 2004 Tarihli 5237 sayılı Kanun</w:t>
      </w:r>
      <w:r w:rsidR="00140667" w:rsidRPr="007F04BC">
        <w:rPr>
          <w:rFonts w:eastAsiaTheme="minorEastAsia" w:cstheme="minorHAnsi"/>
        </w:rPr>
        <w:t>) « </w:t>
      </w:r>
      <w:r w:rsidR="003E1EE7" w:rsidRPr="007F04BC">
        <w:rPr>
          <w:rFonts w:eastAsiaTheme="minorEastAsia" w:cstheme="minorHAnsi"/>
        </w:rPr>
        <w:t xml:space="preserve">Hakaret » başlıklı 125. maddesi şöyledir : </w:t>
      </w:r>
    </w:p>
    <w:p w14:paraId="62FA9D4E" w14:textId="66FDD964" w:rsidR="00540D5A" w:rsidRPr="007F04BC" w:rsidRDefault="00540D5A" w:rsidP="007F04BC">
      <w:pPr>
        <w:pStyle w:val="JuQuot"/>
        <w:spacing w:line="276" w:lineRule="auto"/>
        <w:rPr>
          <w:rFonts w:cstheme="minorHAnsi"/>
          <w:sz w:val="24"/>
        </w:rPr>
      </w:pPr>
      <w:r w:rsidRPr="007F04BC">
        <w:rPr>
          <w:rFonts w:eastAsiaTheme="minorEastAsia" w:cstheme="minorHAnsi"/>
          <w:sz w:val="24"/>
        </w:rPr>
        <w:t>«</w:t>
      </w:r>
      <w:r w:rsidR="003E1EE7" w:rsidRPr="007F04BC">
        <w:rPr>
          <w:rFonts w:eastAsiaTheme="minorEastAsia" w:cstheme="minorHAnsi"/>
          <w:sz w:val="24"/>
        </w:rPr>
        <w:t xml:space="preserve"> </w:t>
      </w:r>
      <w:r w:rsidR="003E1EE7" w:rsidRPr="007F04BC">
        <w:rPr>
          <w:rFonts w:cstheme="minorHAnsi"/>
          <w:sz w:val="24"/>
        </w:rPr>
        <w:t>(1) Bir kimseye onur, şeref ve saygınlığını rencide edebilecek nitelikte somut bir fiil veya olgu isnat eden veya sövmek suretiyle bir kimsenin onur, şeref ve saygınlığına saldıran kişi, üç aydan iki yıla kadar hapis veya adlî para cezası ile cezalandırılır. Mağdurun gıyabında hakaretin cezalandırılabilmesi için fiilin en az üç kişiyle ihtilat ederek işlenmesi gerekir.</w:t>
      </w:r>
    </w:p>
    <w:p w14:paraId="4371AC5A" w14:textId="77777777" w:rsidR="00540D5A" w:rsidRPr="007F04BC" w:rsidRDefault="00540D5A" w:rsidP="007F04BC">
      <w:pPr>
        <w:pStyle w:val="JuQuot"/>
        <w:spacing w:line="276" w:lineRule="auto"/>
        <w:rPr>
          <w:rFonts w:eastAsiaTheme="minorEastAsia" w:cstheme="minorHAnsi"/>
          <w:sz w:val="24"/>
          <w:lang w:val="en-GB"/>
        </w:rPr>
      </w:pPr>
      <w:r w:rsidRPr="007F04BC">
        <w:rPr>
          <w:rFonts w:eastAsiaTheme="minorEastAsia" w:cstheme="minorHAnsi"/>
          <w:sz w:val="24"/>
          <w:lang w:val="en-GB"/>
        </w:rPr>
        <w:t>(...)</w:t>
      </w:r>
    </w:p>
    <w:p w14:paraId="28968AA7" w14:textId="77777777" w:rsidR="003E1EE7" w:rsidRPr="007F04BC" w:rsidRDefault="003E1EE7" w:rsidP="007F04BC">
      <w:pPr>
        <w:spacing w:before="120" w:after="120" w:line="276" w:lineRule="auto"/>
        <w:ind w:left="567"/>
        <w:jc w:val="both"/>
        <w:rPr>
          <w:rFonts w:eastAsiaTheme="minorEastAsia" w:cstheme="minorHAnsi"/>
          <w:lang w:val="en-GB"/>
        </w:rPr>
      </w:pPr>
      <w:r w:rsidRPr="007F04BC">
        <w:rPr>
          <w:rFonts w:eastAsiaTheme="minorEastAsia" w:cstheme="minorHAnsi"/>
          <w:lang w:val="en-GB"/>
        </w:rPr>
        <w:t>(3) Hakaret suçunun;</w:t>
      </w:r>
    </w:p>
    <w:p w14:paraId="1FD176CB" w14:textId="77777777" w:rsidR="00343F4A" w:rsidRPr="007F04BC" w:rsidRDefault="003E1EE7" w:rsidP="007F04BC">
      <w:pPr>
        <w:spacing w:before="120" w:after="120" w:line="276" w:lineRule="auto"/>
        <w:ind w:left="567"/>
        <w:jc w:val="both"/>
        <w:rPr>
          <w:rFonts w:eastAsiaTheme="minorEastAsia" w:cstheme="minorHAnsi"/>
          <w:lang w:val="en-GB"/>
        </w:rPr>
      </w:pPr>
      <w:r w:rsidRPr="007F04BC">
        <w:rPr>
          <w:rFonts w:eastAsiaTheme="minorEastAsia" w:cstheme="minorHAnsi"/>
          <w:lang w:val="en-GB"/>
        </w:rPr>
        <w:t xml:space="preserve">a) Kamu görevlisine karşı görevinden dolayı, </w:t>
      </w:r>
    </w:p>
    <w:p w14:paraId="0EE6AC17" w14:textId="77777777" w:rsidR="00343F4A" w:rsidRPr="007F04BC" w:rsidRDefault="00540D5A" w:rsidP="007F04BC">
      <w:pPr>
        <w:spacing w:before="120" w:after="120" w:line="276" w:lineRule="auto"/>
        <w:ind w:left="567"/>
        <w:jc w:val="both"/>
        <w:rPr>
          <w:rFonts w:eastAsiaTheme="minorEastAsia" w:cstheme="minorHAnsi"/>
          <w:lang w:val="en-GB"/>
        </w:rPr>
      </w:pPr>
      <w:r w:rsidRPr="007F04BC">
        <w:rPr>
          <w:rFonts w:eastAsiaTheme="minorEastAsia" w:cstheme="minorHAnsi"/>
          <w:lang w:val="en-GB"/>
        </w:rPr>
        <w:t>(...)</w:t>
      </w:r>
    </w:p>
    <w:p w14:paraId="1AA5DAB0" w14:textId="77777777" w:rsidR="00343F4A" w:rsidRPr="007F04BC" w:rsidRDefault="00343F4A" w:rsidP="007F04BC">
      <w:pPr>
        <w:spacing w:before="120" w:after="120" w:line="276" w:lineRule="auto"/>
        <w:ind w:left="567"/>
        <w:jc w:val="both"/>
        <w:rPr>
          <w:rFonts w:eastAsiaTheme="minorEastAsia" w:cstheme="minorHAnsi"/>
          <w:lang w:val="en-GB"/>
        </w:rPr>
      </w:pPr>
      <w:r w:rsidRPr="007F04BC">
        <w:rPr>
          <w:rFonts w:eastAsiaTheme="minorEastAsia" w:cstheme="minorHAnsi"/>
          <w:lang w:val="en-GB"/>
        </w:rPr>
        <w:t>İşlenmesi halinde, cezanın alt sınırı bir yıldan az olamaz.</w:t>
      </w:r>
    </w:p>
    <w:p w14:paraId="20A087B0" w14:textId="310EA647" w:rsidR="00540D5A" w:rsidRPr="007F04BC" w:rsidRDefault="00343F4A" w:rsidP="007F04BC">
      <w:pPr>
        <w:spacing w:before="120" w:after="120" w:line="276" w:lineRule="auto"/>
        <w:ind w:left="567"/>
        <w:jc w:val="both"/>
        <w:rPr>
          <w:rFonts w:eastAsiaTheme="minorEastAsia" w:cstheme="minorHAnsi"/>
          <w:lang w:val="en-GB"/>
        </w:rPr>
      </w:pPr>
      <w:r w:rsidRPr="007F04BC">
        <w:rPr>
          <w:rFonts w:eastAsiaTheme="minorEastAsia" w:cstheme="minorHAnsi"/>
          <w:lang w:val="en-GB"/>
        </w:rPr>
        <w:t>(…)</w:t>
      </w:r>
      <w:r w:rsidR="00540D5A" w:rsidRPr="007F04BC">
        <w:rPr>
          <w:rFonts w:eastAsiaTheme="minorEastAsia" w:cstheme="minorHAnsi"/>
          <w:lang w:val="en-GB"/>
        </w:rPr>
        <w:t> »</w:t>
      </w:r>
    </w:p>
    <w:p w14:paraId="49821D4A" w14:textId="72EEFDF3" w:rsidR="00540D5A" w:rsidRPr="007F04BC" w:rsidRDefault="00540D5A" w:rsidP="007F04BC">
      <w:pPr>
        <w:pStyle w:val="JuPara"/>
        <w:spacing w:line="276" w:lineRule="auto"/>
        <w:rPr>
          <w:rFonts w:cstheme="minorHAnsi"/>
          <w:lang w:val="en-GB"/>
        </w:rPr>
      </w:pPr>
      <w:r w:rsidRPr="007F04BC">
        <w:rPr>
          <w:rFonts w:cstheme="minorHAnsi"/>
        </w:rPr>
        <w:fldChar w:fldCharType="begin"/>
      </w:r>
      <w:r w:rsidRPr="007F04BC">
        <w:rPr>
          <w:rFonts w:cstheme="minorHAnsi"/>
          <w:lang w:val="en-GB"/>
        </w:rPr>
        <w:instrText xml:space="preserve"> SEQ level0 \*arabic </w:instrText>
      </w:r>
      <w:r w:rsidRPr="007F04BC">
        <w:rPr>
          <w:rFonts w:cstheme="minorHAnsi"/>
        </w:rPr>
        <w:fldChar w:fldCharType="separate"/>
      </w:r>
      <w:r w:rsidR="00D406AC" w:rsidRPr="007F04BC">
        <w:rPr>
          <w:rFonts w:cstheme="minorHAnsi"/>
          <w:noProof/>
          <w:lang w:val="en-GB"/>
        </w:rPr>
        <w:t>14</w:t>
      </w:r>
      <w:r w:rsidRPr="007F04BC">
        <w:rPr>
          <w:rFonts w:cstheme="minorHAnsi"/>
        </w:rPr>
        <w:fldChar w:fldCharType="end"/>
      </w:r>
      <w:r w:rsidRPr="007F04BC">
        <w:rPr>
          <w:rFonts w:cstheme="minorHAnsi"/>
          <w:lang w:val="en-GB"/>
        </w:rPr>
        <w:t>.  </w:t>
      </w:r>
      <w:r w:rsidR="00343F4A" w:rsidRPr="007F04BC">
        <w:rPr>
          <w:rFonts w:cstheme="minorHAnsi"/>
          <w:lang w:val="en-GB"/>
        </w:rPr>
        <w:t>Ceza Kanunu</w:t>
      </w:r>
      <w:r w:rsidR="00140667" w:rsidRPr="007F04BC">
        <w:rPr>
          <w:rFonts w:cstheme="minorHAnsi"/>
          <w:lang w:val="en-GB"/>
        </w:rPr>
        <w:t>’nu</w:t>
      </w:r>
      <w:r w:rsidR="00343F4A" w:rsidRPr="007F04BC">
        <w:rPr>
          <w:rFonts w:cstheme="minorHAnsi"/>
          <w:lang w:val="en-GB"/>
        </w:rPr>
        <w:t>n « Cumhurbaşkanına hakaret » başlıklı 299. maddesi şu şekildedir :</w:t>
      </w:r>
    </w:p>
    <w:p w14:paraId="1FAA7C1F" w14:textId="3204CFA5" w:rsidR="00540D5A" w:rsidRPr="007F04BC" w:rsidRDefault="00540D5A" w:rsidP="007F04BC">
      <w:pPr>
        <w:pStyle w:val="JuQuot"/>
        <w:spacing w:line="276" w:lineRule="auto"/>
        <w:rPr>
          <w:rFonts w:cstheme="minorHAnsi"/>
          <w:sz w:val="24"/>
          <w:lang w:val="en-GB"/>
        </w:rPr>
      </w:pPr>
      <w:r w:rsidRPr="007F04BC">
        <w:rPr>
          <w:rFonts w:cstheme="minorHAnsi"/>
          <w:sz w:val="24"/>
          <w:lang w:val="en-GB"/>
        </w:rPr>
        <w:t>« </w:t>
      </w:r>
      <w:r w:rsidR="00343F4A" w:rsidRPr="007F04BC">
        <w:rPr>
          <w:rFonts w:cstheme="minorHAnsi"/>
          <w:sz w:val="24"/>
          <w:lang w:val="en-GB"/>
        </w:rPr>
        <w:t>(1) Cumhurbaşkanına hakaret eden kişi, bir yıldan dört yıla kadar hapis cezası ile cezalandırılır.</w:t>
      </w:r>
    </w:p>
    <w:p w14:paraId="0B3FC26C" w14:textId="4C8BA2E2" w:rsidR="00343F4A" w:rsidRPr="007F04BC" w:rsidRDefault="00540D5A" w:rsidP="007F04BC">
      <w:pPr>
        <w:pStyle w:val="JuQuot"/>
        <w:spacing w:line="276" w:lineRule="auto"/>
        <w:rPr>
          <w:rFonts w:cstheme="minorHAnsi"/>
          <w:sz w:val="24"/>
          <w:lang w:val="en-GB"/>
        </w:rPr>
      </w:pPr>
      <w:r w:rsidRPr="007F04BC">
        <w:rPr>
          <w:rFonts w:cstheme="minorHAnsi"/>
          <w:sz w:val="24"/>
          <w:lang w:val="en-GB"/>
        </w:rPr>
        <w:t xml:space="preserve">(2) </w:t>
      </w:r>
      <w:r w:rsidR="00343F4A" w:rsidRPr="007F04BC">
        <w:rPr>
          <w:rFonts w:cstheme="minorHAnsi"/>
          <w:sz w:val="24"/>
          <w:lang w:val="en-GB"/>
        </w:rPr>
        <w:t xml:space="preserve">Suçun alenen işlenmesi hâlinde, verilecek ceza altıda biri oranında artırılır. </w:t>
      </w:r>
    </w:p>
    <w:p w14:paraId="455FF0A1" w14:textId="23F48AAD" w:rsidR="00540D5A" w:rsidRPr="007F04BC" w:rsidRDefault="00540D5A" w:rsidP="007F04BC">
      <w:pPr>
        <w:pStyle w:val="JuQuot"/>
        <w:spacing w:line="276" w:lineRule="auto"/>
        <w:rPr>
          <w:rFonts w:cstheme="minorHAnsi"/>
          <w:sz w:val="24"/>
          <w:lang w:val="en-GB"/>
        </w:rPr>
      </w:pPr>
      <w:r w:rsidRPr="007F04BC">
        <w:rPr>
          <w:rFonts w:cstheme="minorHAnsi"/>
          <w:sz w:val="24"/>
          <w:lang w:val="en-GB"/>
        </w:rPr>
        <w:lastRenderedPageBreak/>
        <w:t xml:space="preserve">(3) </w:t>
      </w:r>
      <w:r w:rsidR="00343F4A" w:rsidRPr="007F04BC">
        <w:rPr>
          <w:rFonts w:cstheme="minorHAnsi"/>
          <w:sz w:val="24"/>
          <w:lang w:val="en-GB"/>
        </w:rPr>
        <w:t xml:space="preserve">Bu suçtan dolayı kovuşturma yapılması, Adalet Bakanının iznine bağlıdır. </w:t>
      </w:r>
      <w:r w:rsidRPr="007F04BC">
        <w:rPr>
          <w:rFonts w:cstheme="minorHAnsi"/>
          <w:sz w:val="24"/>
          <w:lang w:val="en-GB"/>
        </w:rPr>
        <w:t>»</w:t>
      </w:r>
    </w:p>
    <w:p w14:paraId="0C9F2AB5" w14:textId="638262B4" w:rsidR="00540D5A" w:rsidRPr="007F04BC" w:rsidRDefault="005C3F76" w:rsidP="007F04BC">
      <w:pPr>
        <w:pStyle w:val="JuParaLast"/>
        <w:numPr>
          <w:ilvl w:val="0"/>
          <w:numId w:val="26"/>
        </w:numPr>
        <w:spacing w:line="276" w:lineRule="auto"/>
        <w:rPr>
          <w:rFonts w:cstheme="minorHAnsi"/>
          <w:b/>
        </w:rPr>
      </w:pPr>
      <w:r w:rsidRPr="007F04BC">
        <w:rPr>
          <w:rFonts w:cstheme="minorHAnsi"/>
          <w:b/>
        </w:rPr>
        <w:t>Ceza Muhakemesi Kanunu</w:t>
      </w:r>
      <w:r w:rsidR="00140667" w:rsidRPr="007F04BC">
        <w:rPr>
          <w:rFonts w:cstheme="minorHAnsi"/>
          <w:b/>
        </w:rPr>
        <w:t>’nu</w:t>
      </w:r>
      <w:r w:rsidRPr="007F04BC">
        <w:rPr>
          <w:rFonts w:cstheme="minorHAnsi"/>
          <w:b/>
        </w:rPr>
        <w:t>n 231. maddesi</w:t>
      </w:r>
    </w:p>
    <w:p w14:paraId="5136098A" w14:textId="1C0412AE" w:rsidR="00540D5A" w:rsidRPr="007F04BC" w:rsidRDefault="00540D5A" w:rsidP="007F04BC">
      <w:pPr>
        <w:pStyle w:val="JuPara"/>
        <w:spacing w:line="276" w:lineRule="auto"/>
        <w:rPr>
          <w:rFonts w:eastAsiaTheme="minorEastAsia" w:cstheme="minorHAnsi"/>
        </w:rPr>
      </w:pPr>
      <w:r w:rsidRPr="007F04BC">
        <w:rPr>
          <w:rFonts w:eastAsiaTheme="minorEastAsia" w:cstheme="minorHAnsi"/>
        </w:rPr>
        <w:fldChar w:fldCharType="begin"/>
      </w:r>
      <w:r w:rsidRPr="007F04BC">
        <w:rPr>
          <w:rFonts w:eastAsiaTheme="minorEastAsia" w:cstheme="minorHAnsi"/>
        </w:rPr>
        <w:instrText xml:space="preserve"> SEQ level0 \*arabic </w:instrText>
      </w:r>
      <w:r w:rsidRPr="007F04BC">
        <w:rPr>
          <w:rFonts w:eastAsiaTheme="minorEastAsia" w:cstheme="minorHAnsi"/>
        </w:rPr>
        <w:fldChar w:fldCharType="separate"/>
      </w:r>
      <w:r w:rsidR="00D406AC" w:rsidRPr="007F04BC">
        <w:rPr>
          <w:rFonts w:eastAsiaTheme="minorEastAsia" w:cstheme="minorHAnsi"/>
          <w:noProof/>
        </w:rPr>
        <w:t>15</w:t>
      </w:r>
      <w:r w:rsidRPr="007F04BC">
        <w:rPr>
          <w:rFonts w:eastAsiaTheme="minorEastAsia" w:cstheme="minorHAnsi"/>
        </w:rPr>
        <w:fldChar w:fldCharType="end"/>
      </w:r>
      <w:r w:rsidRPr="007F04BC">
        <w:rPr>
          <w:rFonts w:eastAsiaTheme="minorEastAsia" w:cstheme="minorHAnsi"/>
        </w:rPr>
        <w:t>.  </w:t>
      </w:r>
      <w:r w:rsidR="005C3F76" w:rsidRPr="007F04BC">
        <w:rPr>
          <w:rFonts w:eastAsiaTheme="minorEastAsia" w:cstheme="minorHAnsi"/>
        </w:rPr>
        <w:t>Ceza Muhakemesi Kanunu</w:t>
      </w:r>
      <w:r w:rsidR="00C33307" w:rsidRPr="007F04BC">
        <w:rPr>
          <w:rFonts w:eastAsiaTheme="minorEastAsia" w:cstheme="minorHAnsi"/>
        </w:rPr>
        <w:t>’nu</w:t>
      </w:r>
      <w:r w:rsidR="005C3F76" w:rsidRPr="007F04BC">
        <w:rPr>
          <w:rFonts w:eastAsiaTheme="minorEastAsia" w:cstheme="minorHAnsi"/>
        </w:rPr>
        <w:t xml:space="preserve">n (1 Haziran 2005 tarihinde yürürlüğe giren 4 Aralık 2004 Tarihli 5271 sayılı Kanun) hükmün açıklanmasının geri bırakılmasını öngören 231. maddesi için </w:t>
      </w:r>
      <w:r w:rsidR="005C3F76" w:rsidRPr="007F04BC">
        <w:rPr>
          <w:rFonts w:eastAsiaTheme="minorEastAsia" w:cstheme="minorHAnsi"/>
          <w:i/>
        </w:rPr>
        <w:t xml:space="preserve">Kerman v. Türkiye </w:t>
      </w:r>
      <w:r w:rsidR="005C3F76" w:rsidRPr="007F04BC">
        <w:rPr>
          <w:rFonts w:eastAsiaTheme="minorEastAsia" w:cstheme="minorHAnsi"/>
          <w:iCs/>
        </w:rPr>
        <w:t>kararına</w:t>
      </w:r>
      <w:r w:rsidR="005C3F76" w:rsidRPr="007F04BC">
        <w:rPr>
          <w:rFonts w:eastAsiaTheme="minorEastAsia" w:cstheme="minorHAnsi"/>
        </w:rPr>
        <w:t xml:space="preserve"> (no. 35132/05, § 25, 22 Kasım 2016) atıfta bulunulmaktadır.</w:t>
      </w:r>
    </w:p>
    <w:p w14:paraId="2118DE48" w14:textId="62F34B59" w:rsidR="00540D5A" w:rsidRPr="007F04BC" w:rsidRDefault="00C33307" w:rsidP="007F04BC">
      <w:pPr>
        <w:pStyle w:val="JuParaLast"/>
        <w:numPr>
          <w:ilvl w:val="0"/>
          <w:numId w:val="25"/>
        </w:numPr>
        <w:spacing w:line="276" w:lineRule="auto"/>
        <w:rPr>
          <w:rFonts w:eastAsiaTheme="minorEastAsia" w:cstheme="minorHAnsi"/>
        </w:rPr>
      </w:pPr>
      <w:r w:rsidRPr="007F04BC">
        <w:rPr>
          <w:rFonts w:eastAsiaTheme="minorEastAsia" w:cstheme="minorHAnsi"/>
        </w:rPr>
        <w:t>AVRUPA KONSEYİ METİNLERİ</w:t>
      </w:r>
    </w:p>
    <w:p w14:paraId="52144041" w14:textId="2A9739DD" w:rsidR="00540D5A" w:rsidRPr="007F04BC" w:rsidRDefault="005C3F76" w:rsidP="007F04BC">
      <w:pPr>
        <w:pStyle w:val="JuParaLast"/>
        <w:numPr>
          <w:ilvl w:val="0"/>
          <w:numId w:val="27"/>
        </w:numPr>
        <w:spacing w:line="276" w:lineRule="auto"/>
        <w:rPr>
          <w:rFonts w:cstheme="minorHAnsi"/>
          <w:b/>
        </w:rPr>
      </w:pPr>
      <w:r w:rsidRPr="007F04BC">
        <w:rPr>
          <w:rFonts w:cstheme="minorHAnsi"/>
          <w:b/>
        </w:rPr>
        <w:t>Bakanlar Komitesi’nin Medyada Siyasi Tartışma Özgürlüğü üzerine Bildirisi</w:t>
      </w:r>
    </w:p>
    <w:p w14:paraId="6DF1DE1E" w14:textId="38B3A426" w:rsidR="00540D5A" w:rsidRPr="007F04BC" w:rsidRDefault="00540D5A" w:rsidP="007F04BC">
      <w:pPr>
        <w:pStyle w:val="JuPara"/>
        <w:spacing w:line="276" w:lineRule="auto"/>
        <w:rPr>
          <w:rFonts w:eastAsiaTheme="minorEastAsia" w:cstheme="minorHAnsi"/>
        </w:rPr>
      </w:pPr>
      <w:r w:rsidRPr="007F04BC">
        <w:rPr>
          <w:rFonts w:eastAsiaTheme="minorEastAsia" w:cstheme="minorHAnsi"/>
        </w:rPr>
        <w:fldChar w:fldCharType="begin"/>
      </w:r>
      <w:r w:rsidRPr="007F04BC">
        <w:rPr>
          <w:rFonts w:eastAsiaTheme="minorEastAsia" w:cstheme="minorHAnsi"/>
        </w:rPr>
        <w:instrText xml:space="preserve"> SEQ level0 \*arabic </w:instrText>
      </w:r>
      <w:r w:rsidRPr="007F04BC">
        <w:rPr>
          <w:rFonts w:eastAsiaTheme="minorEastAsia" w:cstheme="minorHAnsi"/>
        </w:rPr>
        <w:fldChar w:fldCharType="separate"/>
      </w:r>
      <w:r w:rsidR="00D406AC" w:rsidRPr="007F04BC">
        <w:rPr>
          <w:rFonts w:eastAsiaTheme="minorEastAsia" w:cstheme="minorHAnsi"/>
          <w:noProof/>
        </w:rPr>
        <w:t>16</w:t>
      </w:r>
      <w:r w:rsidRPr="007F04BC">
        <w:rPr>
          <w:rFonts w:eastAsiaTheme="minorEastAsia" w:cstheme="minorHAnsi"/>
        </w:rPr>
        <w:fldChar w:fldCharType="end"/>
      </w:r>
      <w:r w:rsidRPr="007F04BC">
        <w:rPr>
          <w:rFonts w:eastAsiaTheme="minorEastAsia" w:cstheme="minorHAnsi"/>
        </w:rPr>
        <w:t>.  </w:t>
      </w:r>
      <w:r w:rsidR="005C3F76" w:rsidRPr="007F04BC">
        <w:rPr>
          <w:rFonts w:eastAsiaTheme="minorEastAsia" w:cstheme="minorHAnsi"/>
        </w:rPr>
        <w:t xml:space="preserve">12 Şubat 2004 tarihinde Bakanlar Komitesi tarafından kabul edilen Medyada Siyasi Tartışma Özgürlüğü Bildirisi’nin </w:t>
      </w:r>
      <w:r w:rsidR="00122698" w:rsidRPr="007F04BC">
        <w:rPr>
          <w:rFonts w:eastAsiaTheme="minorEastAsia" w:cstheme="minorHAnsi"/>
        </w:rPr>
        <w:t xml:space="preserve">mevcut </w:t>
      </w:r>
      <w:r w:rsidR="005C3F76" w:rsidRPr="007F04BC">
        <w:rPr>
          <w:rFonts w:eastAsiaTheme="minorEastAsia" w:cstheme="minorHAnsi"/>
        </w:rPr>
        <w:t>olayla</w:t>
      </w:r>
      <w:r w:rsidR="006B4616" w:rsidRPr="007F04BC">
        <w:rPr>
          <w:rFonts w:eastAsiaTheme="minorEastAsia" w:cstheme="minorHAnsi"/>
        </w:rPr>
        <w:t xml:space="preserve"> ilgili kısımları şu şekildedir</w:t>
      </w:r>
      <w:r w:rsidR="005C3F76" w:rsidRPr="007F04BC">
        <w:rPr>
          <w:rFonts w:eastAsiaTheme="minorEastAsia" w:cstheme="minorHAnsi"/>
        </w:rPr>
        <w:t xml:space="preserve">: </w:t>
      </w:r>
    </w:p>
    <w:p w14:paraId="72E3234D" w14:textId="0D7FB884" w:rsidR="00540D5A" w:rsidRPr="007F04BC" w:rsidRDefault="00540D5A" w:rsidP="007F04BC">
      <w:pPr>
        <w:pStyle w:val="JuQuot"/>
        <w:spacing w:line="276" w:lineRule="auto"/>
        <w:rPr>
          <w:rFonts w:eastAsiaTheme="minorEastAsia" w:cstheme="minorHAnsi"/>
          <w:sz w:val="24"/>
        </w:rPr>
      </w:pPr>
      <w:r w:rsidRPr="007F04BC">
        <w:rPr>
          <w:rFonts w:eastAsiaTheme="minorEastAsia" w:cstheme="minorHAnsi"/>
          <w:sz w:val="24"/>
        </w:rPr>
        <w:t xml:space="preserve">« </w:t>
      </w:r>
      <w:r w:rsidR="00122698" w:rsidRPr="007F04BC">
        <w:rPr>
          <w:rFonts w:eastAsiaTheme="minorEastAsia" w:cstheme="minorHAnsi"/>
          <w:sz w:val="24"/>
        </w:rPr>
        <w:t>Avrupa Konseyi Bakanlar Komitesi,</w:t>
      </w:r>
    </w:p>
    <w:p w14:paraId="0ECE2B4D" w14:textId="77777777" w:rsidR="00540D5A" w:rsidRPr="007F04BC" w:rsidRDefault="00540D5A" w:rsidP="007F04BC">
      <w:pPr>
        <w:pStyle w:val="JuQuot"/>
        <w:spacing w:line="276" w:lineRule="auto"/>
        <w:rPr>
          <w:rFonts w:eastAsiaTheme="minorEastAsia" w:cstheme="minorHAnsi"/>
          <w:sz w:val="24"/>
        </w:rPr>
      </w:pPr>
      <w:r w:rsidRPr="007F04BC">
        <w:rPr>
          <w:rFonts w:eastAsiaTheme="minorEastAsia" w:cstheme="minorHAnsi"/>
          <w:sz w:val="24"/>
        </w:rPr>
        <w:t>(...)</w:t>
      </w:r>
    </w:p>
    <w:p w14:paraId="165FD2DC" w14:textId="2CB8852A" w:rsidR="00540D5A" w:rsidRPr="007F04BC" w:rsidRDefault="00122698" w:rsidP="007F04BC">
      <w:pPr>
        <w:pStyle w:val="JuQuot"/>
        <w:spacing w:line="276" w:lineRule="auto"/>
        <w:rPr>
          <w:rFonts w:eastAsiaTheme="minorEastAsia" w:cstheme="minorHAnsi"/>
          <w:sz w:val="24"/>
        </w:rPr>
      </w:pPr>
      <w:r w:rsidRPr="007F04BC">
        <w:rPr>
          <w:rFonts w:eastAsiaTheme="minorEastAsia" w:cstheme="minorHAnsi"/>
          <w:sz w:val="24"/>
        </w:rPr>
        <w:t>Bazı yerel hukuk sistemlerinin hala Sözleşme</w:t>
      </w:r>
      <w:r w:rsidR="009F133A" w:rsidRPr="007F04BC">
        <w:rPr>
          <w:rFonts w:eastAsiaTheme="minorEastAsia" w:cstheme="minorHAnsi"/>
          <w:sz w:val="24"/>
        </w:rPr>
        <w:t>’</w:t>
      </w:r>
      <w:r w:rsidRPr="007F04BC">
        <w:rPr>
          <w:rFonts w:eastAsiaTheme="minorEastAsia" w:cstheme="minorHAnsi"/>
          <w:sz w:val="24"/>
        </w:rPr>
        <w:t xml:space="preserve">nin 10. maddesinde güvence altına alınmış ifade ve bilgi alma özgürlüğüne uyumlu olmayan şekilde, siyasi kişilere ve </w:t>
      </w:r>
      <w:r w:rsidR="007B274F" w:rsidRPr="007F04BC">
        <w:rPr>
          <w:rFonts w:eastAsiaTheme="minorEastAsia" w:cstheme="minorHAnsi"/>
          <w:sz w:val="24"/>
        </w:rPr>
        <w:t>kamu görevlilerine</w:t>
      </w:r>
      <w:r w:rsidRPr="007F04BC">
        <w:rPr>
          <w:rFonts w:eastAsiaTheme="minorEastAsia" w:cstheme="minorHAnsi"/>
          <w:sz w:val="24"/>
        </w:rPr>
        <w:t xml:space="preserve"> medya</w:t>
      </w:r>
      <w:r w:rsidR="00474AB4" w:rsidRPr="007F04BC">
        <w:rPr>
          <w:rFonts w:eastAsiaTheme="minorEastAsia" w:cstheme="minorHAnsi"/>
          <w:sz w:val="24"/>
        </w:rPr>
        <w:t xml:space="preserve"> kanallarında</w:t>
      </w:r>
      <w:r w:rsidRPr="007F04BC">
        <w:rPr>
          <w:rFonts w:eastAsiaTheme="minorEastAsia" w:cstheme="minorHAnsi"/>
          <w:sz w:val="24"/>
        </w:rPr>
        <w:t xml:space="preserve"> kendilerine ilişkin bilgilerin ve fikirlerin yayılmasına karşı hukuki ayrıcalıklar tanıdığının bilincinde</w:t>
      </w:r>
      <w:r w:rsidR="001C0971" w:rsidRPr="007F04BC">
        <w:rPr>
          <w:rFonts w:eastAsiaTheme="minorEastAsia" w:cstheme="minorHAnsi"/>
          <w:sz w:val="24"/>
        </w:rPr>
        <w:t xml:space="preserve"> olarak</w:t>
      </w:r>
      <w:r w:rsidRPr="007F04BC">
        <w:rPr>
          <w:rFonts w:eastAsiaTheme="minorEastAsia" w:cstheme="minorHAnsi"/>
          <w:sz w:val="24"/>
        </w:rPr>
        <w:t> ;</w:t>
      </w:r>
    </w:p>
    <w:p w14:paraId="75290A00" w14:textId="77777777" w:rsidR="00540D5A" w:rsidRPr="007F04BC" w:rsidRDefault="00540D5A" w:rsidP="007F04BC">
      <w:pPr>
        <w:pStyle w:val="JuQuot"/>
        <w:spacing w:line="276" w:lineRule="auto"/>
        <w:rPr>
          <w:rFonts w:eastAsiaTheme="minorEastAsia" w:cstheme="minorHAnsi"/>
          <w:sz w:val="24"/>
        </w:rPr>
      </w:pPr>
      <w:r w:rsidRPr="007F04BC">
        <w:rPr>
          <w:rFonts w:eastAsiaTheme="minorEastAsia" w:cstheme="minorHAnsi"/>
          <w:sz w:val="24"/>
        </w:rPr>
        <w:t>(...)</w:t>
      </w:r>
    </w:p>
    <w:p w14:paraId="42719829" w14:textId="2DEA1BEF" w:rsidR="00540D5A" w:rsidRPr="007F04BC" w:rsidRDefault="00540D5A" w:rsidP="007F04BC">
      <w:pPr>
        <w:pStyle w:val="JuQuot"/>
        <w:spacing w:line="276" w:lineRule="auto"/>
        <w:rPr>
          <w:rFonts w:eastAsiaTheme="minorEastAsia" w:cstheme="minorHAnsi"/>
          <w:sz w:val="24"/>
        </w:rPr>
      </w:pPr>
      <w:r w:rsidRPr="007F04BC">
        <w:rPr>
          <w:rFonts w:eastAsiaTheme="minorEastAsia" w:cstheme="minorHAnsi"/>
          <w:sz w:val="24"/>
        </w:rPr>
        <w:t xml:space="preserve">II. </w:t>
      </w:r>
      <w:r w:rsidR="00122698" w:rsidRPr="007F04BC">
        <w:rPr>
          <w:rFonts w:eastAsiaTheme="minorEastAsia" w:cstheme="minorHAnsi"/>
          <w:sz w:val="24"/>
        </w:rPr>
        <w:t>Devleti ve kamu kuruluşlarını eleştirme özgürlüğü</w:t>
      </w:r>
    </w:p>
    <w:p w14:paraId="275A688F" w14:textId="5E5E15FC" w:rsidR="007B274F" w:rsidRPr="007F04BC" w:rsidRDefault="00714EDA" w:rsidP="007F04BC">
      <w:pPr>
        <w:pStyle w:val="JuQuot"/>
        <w:spacing w:line="276" w:lineRule="auto"/>
        <w:rPr>
          <w:rFonts w:eastAsiaTheme="minorEastAsia" w:cstheme="minorHAnsi"/>
          <w:sz w:val="24"/>
        </w:rPr>
      </w:pPr>
      <w:r w:rsidRPr="007F04BC">
        <w:rPr>
          <w:rFonts w:eastAsiaTheme="minorEastAsia" w:cstheme="minorHAnsi"/>
          <w:sz w:val="24"/>
        </w:rPr>
        <w:t>Devlet, hükümet veya diğer yürütme, yasama ya da yargı yetkisinin organları medya</w:t>
      </w:r>
      <w:r w:rsidR="00474AB4" w:rsidRPr="007F04BC">
        <w:rPr>
          <w:rFonts w:eastAsiaTheme="minorEastAsia" w:cstheme="minorHAnsi"/>
          <w:sz w:val="24"/>
        </w:rPr>
        <w:t xml:space="preserve"> kanallarında</w:t>
      </w:r>
      <w:r w:rsidRPr="007F04BC">
        <w:rPr>
          <w:rFonts w:eastAsiaTheme="minorEastAsia" w:cstheme="minorHAnsi"/>
          <w:sz w:val="24"/>
        </w:rPr>
        <w:t xml:space="preserve"> eleştiri konusu olabilir. Baskın konumları sebebiyle bu kurumlar, itibar zedeleyen ya da hakaret biteliğindeki beyanlar sebebiyle ceza hukuku tarafından korunmamalıdır. Bununla birlikte</w:t>
      </w:r>
      <w:r w:rsidR="009F1153" w:rsidRPr="007F04BC">
        <w:rPr>
          <w:rFonts w:eastAsiaTheme="minorEastAsia" w:cstheme="minorHAnsi"/>
          <w:sz w:val="24"/>
        </w:rPr>
        <w:t>,</w:t>
      </w:r>
      <w:r w:rsidRPr="007F04BC">
        <w:rPr>
          <w:rFonts w:eastAsiaTheme="minorEastAsia" w:cstheme="minorHAnsi"/>
          <w:sz w:val="24"/>
        </w:rPr>
        <w:t xml:space="preserve"> bu kurumlar</w:t>
      </w:r>
      <w:r w:rsidR="009F1153" w:rsidRPr="007F04BC">
        <w:rPr>
          <w:rFonts w:eastAsiaTheme="minorEastAsia" w:cstheme="minorHAnsi"/>
          <w:sz w:val="24"/>
        </w:rPr>
        <w:t>ın</w:t>
      </w:r>
      <w:r w:rsidRPr="007F04BC">
        <w:rPr>
          <w:rFonts w:eastAsiaTheme="minorEastAsia" w:cstheme="minorHAnsi"/>
          <w:sz w:val="24"/>
        </w:rPr>
        <w:t xml:space="preserve"> böyle bir korumadan yararlandığı durumlarda, bu koruma her durumda, eleştiri özgürlüğünü kısıtlamak amacıyla kullanılma ihtimalinden kaçınılarak çok </w:t>
      </w:r>
      <w:r w:rsidR="00212FB2" w:rsidRPr="007F04BC">
        <w:rPr>
          <w:rFonts w:eastAsiaTheme="minorEastAsia" w:cstheme="minorHAnsi"/>
          <w:sz w:val="24"/>
        </w:rPr>
        <w:t>dar</w:t>
      </w:r>
      <w:r w:rsidRPr="007F04BC">
        <w:rPr>
          <w:rFonts w:eastAsiaTheme="minorEastAsia" w:cstheme="minorHAnsi"/>
          <w:sz w:val="24"/>
        </w:rPr>
        <w:t xml:space="preserve"> bir şekilde uygulanmalıdır. </w:t>
      </w:r>
      <w:r w:rsidR="007B274F" w:rsidRPr="007F04BC">
        <w:rPr>
          <w:rFonts w:eastAsiaTheme="minorEastAsia" w:cstheme="minorHAnsi"/>
          <w:sz w:val="24"/>
        </w:rPr>
        <w:t>Bu kurumları temsil eden kimseler hali hazırda birey olarak korunmaktadırlar.</w:t>
      </w:r>
    </w:p>
    <w:p w14:paraId="35C0BE3A" w14:textId="77777777" w:rsidR="00540D5A" w:rsidRPr="007F04BC" w:rsidRDefault="00540D5A" w:rsidP="007F04BC">
      <w:pPr>
        <w:pStyle w:val="JuQuot"/>
        <w:spacing w:line="276" w:lineRule="auto"/>
        <w:rPr>
          <w:rFonts w:eastAsiaTheme="minorEastAsia" w:cstheme="minorHAnsi"/>
          <w:sz w:val="24"/>
        </w:rPr>
      </w:pPr>
      <w:r w:rsidRPr="007F04BC">
        <w:rPr>
          <w:rFonts w:eastAsiaTheme="minorEastAsia" w:cstheme="minorHAnsi"/>
          <w:sz w:val="24"/>
        </w:rPr>
        <w:t>(...)</w:t>
      </w:r>
    </w:p>
    <w:p w14:paraId="3E4E7556" w14:textId="42A9C7DF" w:rsidR="00540D5A" w:rsidRPr="007F04BC" w:rsidRDefault="00540D5A" w:rsidP="007F04BC">
      <w:pPr>
        <w:pStyle w:val="JuQuot"/>
        <w:spacing w:line="276" w:lineRule="auto"/>
        <w:rPr>
          <w:rFonts w:eastAsiaTheme="minorEastAsia" w:cstheme="minorHAnsi"/>
          <w:sz w:val="24"/>
        </w:rPr>
      </w:pPr>
      <w:r w:rsidRPr="007F04BC">
        <w:rPr>
          <w:rFonts w:eastAsiaTheme="minorEastAsia" w:cstheme="minorHAnsi"/>
          <w:sz w:val="24"/>
        </w:rPr>
        <w:lastRenderedPageBreak/>
        <w:t xml:space="preserve">VI. </w:t>
      </w:r>
      <w:r w:rsidR="007B274F" w:rsidRPr="007F04BC">
        <w:rPr>
          <w:rFonts w:eastAsiaTheme="minorEastAsia" w:cstheme="minorHAnsi"/>
          <w:sz w:val="24"/>
        </w:rPr>
        <w:t>Siyasi kişiler ve kamu görevlilerinin itibarı</w:t>
      </w:r>
    </w:p>
    <w:p w14:paraId="62F83BE8" w14:textId="6E18D884" w:rsidR="00540D5A" w:rsidRPr="007F04BC" w:rsidRDefault="007B274F" w:rsidP="007F04BC">
      <w:pPr>
        <w:pStyle w:val="JuQuot"/>
        <w:spacing w:line="276" w:lineRule="auto"/>
        <w:rPr>
          <w:rFonts w:eastAsiaTheme="minorEastAsia" w:cstheme="minorHAnsi"/>
          <w:sz w:val="24"/>
          <w:highlight w:val="red"/>
        </w:rPr>
      </w:pPr>
      <w:r w:rsidRPr="007F04BC">
        <w:rPr>
          <w:rFonts w:eastAsiaTheme="minorEastAsia" w:cstheme="minorHAnsi"/>
          <w:sz w:val="24"/>
        </w:rPr>
        <w:t xml:space="preserve">Siyasi kişiler itibarlarının ve diğer haklarının korunması için diğer kişilerden daha geniş bir korumadan yararlanmamalıdır, ve bu sebeple iç hukukta siyasi kişileri eleştiren medya </w:t>
      </w:r>
      <w:r w:rsidR="00474AB4" w:rsidRPr="007F04BC">
        <w:rPr>
          <w:rFonts w:eastAsiaTheme="minorEastAsia" w:cstheme="minorHAnsi"/>
          <w:sz w:val="24"/>
        </w:rPr>
        <w:t>kanalları</w:t>
      </w:r>
      <w:r w:rsidR="00614BE2" w:rsidRPr="007F04BC">
        <w:rPr>
          <w:rFonts w:eastAsiaTheme="minorEastAsia" w:cstheme="minorHAnsi"/>
          <w:sz w:val="24"/>
        </w:rPr>
        <w:t xml:space="preserve"> için</w:t>
      </w:r>
      <w:r w:rsidRPr="007F04BC">
        <w:rPr>
          <w:rFonts w:eastAsiaTheme="minorEastAsia" w:cstheme="minorHAnsi"/>
          <w:sz w:val="24"/>
        </w:rPr>
        <w:t xml:space="preserve"> daha ağır cezalar</w:t>
      </w:r>
      <w:r w:rsidR="00614BE2" w:rsidRPr="007F04BC">
        <w:rPr>
          <w:rFonts w:eastAsiaTheme="minorEastAsia" w:cstheme="minorHAnsi"/>
          <w:sz w:val="24"/>
        </w:rPr>
        <w:t>a</w:t>
      </w:r>
      <w:r w:rsidRPr="007F04BC">
        <w:rPr>
          <w:rFonts w:eastAsiaTheme="minorEastAsia" w:cstheme="minorHAnsi"/>
          <w:sz w:val="24"/>
        </w:rPr>
        <w:t xml:space="preserve"> </w:t>
      </w:r>
      <w:r w:rsidR="00614BE2" w:rsidRPr="007F04BC">
        <w:rPr>
          <w:rFonts w:eastAsiaTheme="minorEastAsia" w:cstheme="minorHAnsi"/>
          <w:sz w:val="24"/>
        </w:rPr>
        <w:t>hükmedilmemelidir</w:t>
      </w:r>
      <w:r w:rsidRPr="007F04BC">
        <w:rPr>
          <w:rFonts w:eastAsiaTheme="minorEastAsia" w:cstheme="minorHAnsi"/>
          <w:sz w:val="24"/>
        </w:rPr>
        <w:t>. Bu ilke kamu görevlileri</w:t>
      </w:r>
      <w:r w:rsidR="0041793D" w:rsidRPr="007F04BC">
        <w:rPr>
          <w:rFonts w:eastAsiaTheme="minorEastAsia" w:cstheme="minorHAnsi"/>
          <w:sz w:val="24"/>
        </w:rPr>
        <w:t xml:space="preserve"> için</w:t>
      </w:r>
      <w:r w:rsidRPr="007F04BC">
        <w:rPr>
          <w:rFonts w:eastAsiaTheme="minorEastAsia" w:cstheme="minorHAnsi"/>
          <w:sz w:val="24"/>
        </w:rPr>
        <w:t xml:space="preserve"> de uygulanır</w:t>
      </w:r>
      <w:r w:rsidR="00E8705D" w:rsidRPr="007F04BC">
        <w:rPr>
          <w:rFonts w:eastAsiaTheme="minorEastAsia" w:cstheme="minorHAnsi"/>
          <w:sz w:val="24"/>
        </w:rPr>
        <w:t> ;</w:t>
      </w:r>
      <w:r w:rsidR="00126012" w:rsidRPr="007F04BC">
        <w:rPr>
          <w:rFonts w:eastAsiaTheme="minorEastAsia" w:cstheme="minorHAnsi"/>
          <w:sz w:val="24"/>
        </w:rPr>
        <w:t xml:space="preserve"> </w:t>
      </w:r>
      <w:r w:rsidR="00474AB4" w:rsidRPr="007F04BC">
        <w:rPr>
          <w:rFonts w:eastAsiaTheme="minorEastAsia" w:cstheme="minorHAnsi"/>
          <w:sz w:val="24"/>
        </w:rPr>
        <w:t>yalnızca</w:t>
      </w:r>
      <w:r w:rsidR="00614BE2" w:rsidRPr="007F04BC">
        <w:rPr>
          <w:rFonts w:eastAsiaTheme="minorEastAsia" w:cstheme="minorHAnsi"/>
          <w:sz w:val="24"/>
        </w:rPr>
        <w:t xml:space="preserve"> kamu görevinin iyi </w:t>
      </w:r>
      <w:r w:rsidR="00474AB4" w:rsidRPr="007F04BC">
        <w:rPr>
          <w:rFonts w:eastAsiaTheme="minorEastAsia" w:cstheme="minorHAnsi"/>
          <w:sz w:val="24"/>
        </w:rPr>
        <w:t>yürütülmesini</w:t>
      </w:r>
      <w:r w:rsidR="00614BE2" w:rsidRPr="007F04BC">
        <w:rPr>
          <w:rFonts w:eastAsiaTheme="minorEastAsia" w:cstheme="minorHAnsi"/>
          <w:sz w:val="24"/>
        </w:rPr>
        <w:t xml:space="preserve"> sağ</w:t>
      </w:r>
      <w:r w:rsidR="00474AB4" w:rsidRPr="007F04BC">
        <w:rPr>
          <w:rFonts w:eastAsiaTheme="minorEastAsia" w:cstheme="minorHAnsi"/>
          <w:sz w:val="24"/>
        </w:rPr>
        <w:t>la</w:t>
      </w:r>
      <w:r w:rsidR="00614BE2" w:rsidRPr="007F04BC">
        <w:rPr>
          <w:rFonts w:eastAsiaTheme="minorEastAsia" w:cstheme="minorHAnsi"/>
          <w:sz w:val="24"/>
        </w:rPr>
        <w:t xml:space="preserve">mak amacıyla </w:t>
      </w:r>
      <w:r w:rsidR="00474AB4" w:rsidRPr="007F04BC">
        <w:rPr>
          <w:rFonts w:eastAsiaTheme="minorEastAsia" w:cstheme="minorHAnsi"/>
          <w:sz w:val="24"/>
        </w:rPr>
        <w:t>kesinlikle</w:t>
      </w:r>
      <w:r w:rsidR="00614BE2" w:rsidRPr="007F04BC">
        <w:rPr>
          <w:rFonts w:eastAsiaTheme="minorEastAsia" w:cstheme="minorHAnsi"/>
          <w:sz w:val="24"/>
        </w:rPr>
        <w:t xml:space="preserve"> zorunlu olduğu takdird</w:t>
      </w:r>
      <w:r w:rsidR="0041793D" w:rsidRPr="007F04BC">
        <w:rPr>
          <w:rFonts w:eastAsiaTheme="minorEastAsia" w:cstheme="minorHAnsi"/>
          <w:sz w:val="24"/>
        </w:rPr>
        <w:t>e</w:t>
      </w:r>
      <w:r w:rsidR="00126012" w:rsidRPr="007F04BC">
        <w:rPr>
          <w:rFonts w:eastAsiaTheme="minorEastAsia" w:cstheme="minorHAnsi"/>
          <w:sz w:val="24"/>
        </w:rPr>
        <w:t xml:space="preserve"> bu ilkenin</w:t>
      </w:r>
      <w:r w:rsidR="0041793D" w:rsidRPr="007F04BC">
        <w:rPr>
          <w:rFonts w:eastAsiaTheme="minorEastAsia" w:cstheme="minorHAnsi"/>
          <w:sz w:val="24"/>
        </w:rPr>
        <w:t xml:space="preserve"> uygulanmayacağı kabul edilmelidir.</w:t>
      </w:r>
    </w:p>
    <w:p w14:paraId="681F210D" w14:textId="77777777" w:rsidR="00540D5A" w:rsidRPr="007F04BC" w:rsidRDefault="00540D5A" w:rsidP="007F04BC">
      <w:pPr>
        <w:pStyle w:val="JuQuot"/>
        <w:spacing w:line="276" w:lineRule="auto"/>
        <w:rPr>
          <w:rFonts w:eastAsiaTheme="minorEastAsia" w:cstheme="minorHAnsi"/>
          <w:sz w:val="24"/>
        </w:rPr>
      </w:pPr>
      <w:r w:rsidRPr="007F04BC">
        <w:rPr>
          <w:rFonts w:eastAsiaTheme="minorEastAsia" w:cstheme="minorHAnsi"/>
          <w:sz w:val="24"/>
        </w:rPr>
        <w:t>(...)</w:t>
      </w:r>
    </w:p>
    <w:p w14:paraId="0D43CD89" w14:textId="7E9CA174" w:rsidR="00540D5A" w:rsidRPr="007F04BC" w:rsidRDefault="00540D5A" w:rsidP="007F04BC">
      <w:pPr>
        <w:pStyle w:val="JuQuot"/>
        <w:spacing w:line="276" w:lineRule="auto"/>
        <w:rPr>
          <w:rFonts w:eastAsiaTheme="minorEastAsia" w:cstheme="minorHAnsi"/>
          <w:sz w:val="24"/>
        </w:rPr>
      </w:pPr>
      <w:r w:rsidRPr="007F04BC">
        <w:rPr>
          <w:rFonts w:eastAsiaTheme="minorEastAsia" w:cstheme="minorHAnsi"/>
          <w:sz w:val="24"/>
        </w:rPr>
        <w:t xml:space="preserve">VIII. </w:t>
      </w:r>
      <w:r w:rsidR="00614BE2" w:rsidRPr="007F04BC">
        <w:rPr>
          <w:rFonts w:eastAsiaTheme="minorEastAsia" w:cstheme="minorHAnsi"/>
          <w:sz w:val="24"/>
        </w:rPr>
        <w:t xml:space="preserve">Medyadaki ihlallere karşı kanun yolları </w:t>
      </w:r>
    </w:p>
    <w:p w14:paraId="1F1ADEBF" w14:textId="50D2DEDB" w:rsidR="0041793D" w:rsidRPr="007F04BC" w:rsidRDefault="0041793D" w:rsidP="007F04BC">
      <w:pPr>
        <w:pStyle w:val="JuQuot"/>
        <w:spacing w:line="276" w:lineRule="auto"/>
        <w:rPr>
          <w:rFonts w:cstheme="minorHAnsi"/>
          <w:sz w:val="24"/>
        </w:rPr>
      </w:pPr>
      <w:r w:rsidRPr="007F04BC">
        <w:rPr>
          <w:rFonts w:cstheme="minorHAnsi"/>
          <w:sz w:val="24"/>
        </w:rPr>
        <w:t xml:space="preserve">Siyasi kişiler ve kamu görevlileri medya kanalları ile hakları ihlal edildiğinde, sadece sıradan kimselerin başvurabileceği kanun yollarına </w:t>
      </w:r>
      <w:r w:rsidR="009F7B3D" w:rsidRPr="007F04BC">
        <w:rPr>
          <w:rFonts w:cstheme="minorHAnsi"/>
          <w:sz w:val="24"/>
        </w:rPr>
        <w:t>başvurabilmelidir (…) Medya yoluyla itibar zedeleme ya da hakaret hapis cezasına yol açmamalı ; yalnızca bu ceza kesinlikle zorunlu ve başkasının haklarını veya itibarının ihlalinin ağırlığına orantılı olarak, özellikle de diğer temel hakları itibar zedeleyici ya da hakaret içeren beyanlarla, örneğin nefret söyleminde olduğu gibi ciddi olarak ihlal ettiği takdirde bu mümkün olmalıdır.</w:t>
      </w:r>
    </w:p>
    <w:p w14:paraId="52E10B24" w14:textId="69BCBF3F" w:rsidR="00540D5A" w:rsidRPr="007F04BC" w:rsidRDefault="006D41A1" w:rsidP="007F04BC">
      <w:pPr>
        <w:pStyle w:val="JuParaLast"/>
        <w:numPr>
          <w:ilvl w:val="0"/>
          <w:numId w:val="27"/>
        </w:numPr>
        <w:spacing w:line="276" w:lineRule="auto"/>
        <w:rPr>
          <w:rFonts w:cstheme="minorHAnsi"/>
          <w:b/>
        </w:rPr>
      </w:pPr>
      <w:r w:rsidRPr="007F04BC">
        <w:rPr>
          <w:rFonts w:cstheme="minorHAnsi"/>
          <w:b/>
        </w:rPr>
        <w:t xml:space="preserve">Avrupa Konseyi Parlamenter Meclisi 1577 (2007) sayılı Kararı </w:t>
      </w:r>
    </w:p>
    <w:p w14:paraId="1E754650" w14:textId="7968EB05" w:rsidR="00540D5A" w:rsidRPr="007F04BC" w:rsidRDefault="00540D5A" w:rsidP="007F04BC">
      <w:pPr>
        <w:pStyle w:val="JuPara"/>
        <w:spacing w:line="276" w:lineRule="auto"/>
        <w:rPr>
          <w:rFonts w:eastAsiaTheme="minorEastAsia" w:cstheme="minorHAnsi"/>
        </w:rPr>
      </w:pPr>
      <w:r w:rsidRPr="007F04BC">
        <w:rPr>
          <w:rFonts w:eastAsiaTheme="minorEastAsia" w:cstheme="minorHAnsi"/>
        </w:rPr>
        <w:fldChar w:fldCharType="begin"/>
      </w:r>
      <w:r w:rsidRPr="007F04BC">
        <w:rPr>
          <w:rFonts w:eastAsiaTheme="minorEastAsia" w:cstheme="minorHAnsi"/>
        </w:rPr>
        <w:instrText xml:space="preserve"> SEQ level0 \*arabic </w:instrText>
      </w:r>
      <w:r w:rsidRPr="007F04BC">
        <w:rPr>
          <w:rFonts w:eastAsiaTheme="minorEastAsia" w:cstheme="minorHAnsi"/>
        </w:rPr>
        <w:fldChar w:fldCharType="separate"/>
      </w:r>
      <w:r w:rsidR="00D406AC" w:rsidRPr="007F04BC">
        <w:rPr>
          <w:rFonts w:eastAsiaTheme="minorEastAsia" w:cstheme="minorHAnsi"/>
          <w:noProof/>
        </w:rPr>
        <w:t>17</w:t>
      </w:r>
      <w:r w:rsidRPr="007F04BC">
        <w:rPr>
          <w:rFonts w:eastAsiaTheme="minorEastAsia" w:cstheme="minorHAnsi"/>
        </w:rPr>
        <w:fldChar w:fldCharType="end"/>
      </w:r>
      <w:r w:rsidRPr="007F04BC">
        <w:rPr>
          <w:rFonts w:eastAsiaTheme="minorEastAsia" w:cstheme="minorHAnsi"/>
        </w:rPr>
        <w:t>.  </w:t>
      </w:r>
      <w:r w:rsidR="006D41A1" w:rsidRPr="007F04BC">
        <w:rPr>
          <w:rFonts w:eastAsiaTheme="minorEastAsia" w:cstheme="minorHAnsi"/>
        </w:rPr>
        <w:t>Avrupa Konseyi Parlamenter Meclisi</w:t>
      </w:r>
      <w:r w:rsidR="009F133A" w:rsidRPr="007F04BC">
        <w:rPr>
          <w:rFonts w:eastAsiaTheme="minorEastAsia" w:cstheme="minorHAnsi"/>
        </w:rPr>
        <w:t>’nin</w:t>
      </w:r>
      <w:r w:rsidR="006D41A1" w:rsidRPr="007F04BC">
        <w:rPr>
          <w:rFonts w:eastAsiaTheme="minorEastAsia" w:cstheme="minorHAnsi"/>
        </w:rPr>
        <w:t xml:space="preserve"> 1577 (2007) sayılı « Hakaretin S</w:t>
      </w:r>
      <w:r w:rsidR="009F133A" w:rsidRPr="007F04BC">
        <w:rPr>
          <w:rFonts w:eastAsiaTheme="minorEastAsia" w:cstheme="minorHAnsi"/>
        </w:rPr>
        <w:t>uç Olmaktan Çıkarılmasına Doğru »</w:t>
      </w:r>
      <w:r w:rsidR="006D41A1" w:rsidRPr="007F04BC">
        <w:rPr>
          <w:rFonts w:eastAsiaTheme="minorEastAsia" w:cstheme="minorHAnsi"/>
        </w:rPr>
        <w:t xml:space="preserve"> başlıklı kararının mevcut olayla ilgili kısımları</w:t>
      </w:r>
      <w:r w:rsidR="009F133A" w:rsidRPr="007F04BC">
        <w:rPr>
          <w:rFonts w:eastAsiaTheme="minorEastAsia" w:cstheme="minorHAnsi"/>
        </w:rPr>
        <w:t xml:space="preserve"> şu şekildedir</w:t>
      </w:r>
      <w:r w:rsidR="006D41A1" w:rsidRPr="007F04BC">
        <w:rPr>
          <w:rFonts w:eastAsiaTheme="minorEastAsia" w:cstheme="minorHAnsi"/>
        </w:rPr>
        <w:t>:</w:t>
      </w:r>
    </w:p>
    <w:p w14:paraId="14172390" w14:textId="77777777" w:rsidR="00540D5A" w:rsidRPr="007F04BC" w:rsidRDefault="00540D5A" w:rsidP="007F04BC">
      <w:pPr>
        <w:pStyle w:val="JuQuot"/>
        <w:spacing w:line="276" w:lineRule="auto"/>
        <w:rPr>
          <w:rFonts w:eastAsiaTheme="minorEastAsia" w:cstheme="minorHAnsi"/>
          <w:sz w:val="24"/>
        </w:rPr>
      </w:pPr>
      <w:r w:rsidRPr="007F04BC">
        <w:rPr>
          <w:rFonts w:eastAsiaTheme="minorEastAsia" w:cstheme="minorHAnsi"/>
          <w:sz w:val="24"/>
        </w:rPr>
        <w:t>« (...)</w:t>
      </w:r>
    </w:p>
    <w:p w14:paraId="56BBFD24" w14:textId="4297B31A" w:rsidR="00540D5A" w:rsidRPr="007F04BC" w:rsidRDefault="00540D5A" w:rsidP="007F04BC">
      <w:pPr>
        <w:pStyle w:val="JuQuot"/>
        <w:spacing w:line="276" w:lineRule="auto"/>
        <w:rPr>
          <w:rFonts w:eastAsiaTheme="minorEastAsia" w:cstheme="minorHAnsi"/>
          <w:sz w:val="24"/>
        </w:rPr>
      </w:pPr>
      <w:r w:rsidRPr="007F04BC">
        <w:rPr>
          <w:rFonts w:eastAsiaTheme="minorEastAsia" w:cstheme="minorHAnsi"/>
          <w:sz w:val="24"/>
        </w:rPr>
        <w:t>11.  [</w:t>
      </w:r>
      <w:r w:rsidR="006D41A1" w:rsidRPr="007F04BC">
        <w:rPr>
          <w:rFonts w:eastAsiaTheme="minorEastAsia" w:cstheme="minorHAnsi"/>
          <w:sz w:val="24"/>
        </w:rPr>
        <w:t>Parlamento</w:t>
      </w:r>
      <w:r w:rsidRPr="007F04BC">
        <w:rPr>
          <w:rFonts w:eastAsiaTheme="minorEastAsia" w:cstheme="minorHAnsi"/>
          <w:sz w:val="24"/>
        </w:rPr>
        <w:t xml:space="preserve">] </w:t>
      </w:r>
      <w:r w:rsidR="006D41A1" w:rsidRPr="007F04BC">
        <w:rPr>
          <w:rFonts w:eastAsiaTheme="minorEastAsia" w:cstheme="minorHAnsi"/>
          <w:sz w:val="24"/>
        </w:rPr>
        <w:t>birçok Taraf Devletin hakaret davalarında hapis cezası öngördüğünü ve örneğin Azerbaycan ve Türkiye gibi bazı devletlerin bu cezayı uygulamada devam ettirdiğini derin bir endişeyle kaydetmektedir.</w:t>
      </w:r>
    </w:p>
    <w:p w14:paraId="04EB1FE7" w14:textId="77777777" w:rsidR="00540D5A" w:rsidRPr="007F04BC" w:rsidRDefault="00540D5A" w:rsidP="007F04BC">
      <w:pPr>
        <w:pStyle w:val="JuQuot"/>
        <w:spacing w:line="276" w:lineRule="auto"/>
        <w:rPr>
          <w:rFonts w:eastAsiaTheme="minorEastAsia" w:cstheme="minorHAnsi"/>
          <w:sz w:val="24"/>
        </w:rPr>
      </w:pPr>
      <w:r w:rsidRPr="007F04BC">
        <w:rPr>
          <w:rFonts w:eastAsiaTheme="minorEastAsia" w:cstheme="minorHAnsi"/>
          <w:sz w:val="24"/>
        </w:rPr>
        <w:t>(...)</w:t>
      </w:r>
    </w:p>
    <w:p w14:paraId="4B33A1E1" w14:textId="21F58928" w:rsidR="00540D5A" w:rsidRPr="007F04BC" w:rsidRDefault="00540D5A" w:rsidP="007F04BC">
      <w:pPr>
        <w:pStyle w:val="JuQuot"/>
        <w:spacing w:line="276" w:lineRule="auto"/>
        <w:rPr>
          <w:rFonts w:eastAsiaTheme="minorEastAsia" w:cstheme="minorHAnsi"/>
          <w:sz w:val="24"/>
        </w:rPr>
      </w:pPr>
      <w:r w:rsidRPr="007F04BC">
        <w:rPr>
          <w:rFonts w:eastAsiaTheme="minorEastAsia" w:cstheme="minorHAnsi"/>
          <w:sz w:val="24"/>
        </w:rPr>
        <w:t>13.  </w:t>
      </w:r>
      <w:r w:rsidR="006D41A1" w:rsidRPr="007F04BC">
        <w:rPr>
          <w:rFonts w:eastAsiaTheme="minorEastAsia" w:cstheme="minorHAnsi"/>
          <w:sz w:val="24"/>
        </w:rPr>
        <w:t>Bununla birlikte, Parlamento hakaret sebepli hapis cezalarının gecikmeksizin kaldırılması gerektiği kanaatindedir. Özellikle</w:t>
      </w:r>
      <w:r w:rsidR="00035563" w:rsidRPr="007F04BC">
        <w:rPr>
          <w:rFonts w:eastAsiaTheme="minorEastAsia" w:cstheme="minorHAnsi"/>
          <w:sz w:val="24"/>
        </w:rPr>
        <w:t>, kanunlarında hala hapis cezası öngören Devletleri uygulamasalar bile, bu cezaları veren Devletlere haksız da olsa herhangi bir mazeret vermemek ve bu sayede kamusal özgürlüklerin zedelenmesine yol açmamak için bu hükümleri gecikmeksizin ilga etmeye çağırmaktadır.</w:t>
      </w:r>
    </w:p>
    <w:p w14:paraId="16D62116" w14:textId="77777777" w:rsidR="00540D5A" w:rsidRPr="007F04BC" w:rsidRDefault="00540D5A" w:rsidP="007F04BC">
      <w:pPr>
        <w:pStyle w:val="JuQuot"/>
        <w:spacing w:line="276" w:lineRule="auto"/>
        <w:rPr>
          <w:rFonts w:eastAsiaTheme="minorEastAsia" w:cstheme="minorHAnsi"/>
          <w:sz w:val="24"/>
        </w:rPr>
      </w:pPr>
      <w:r w:rsidRPr="007F04BC">
        <w:rPr>
          <w:rFonts w:eastAsiaTheme="minorEastAsia" w:cstheme="minorHAnsi"/>
          <w:sz w:val="24"/>
        </w:rPr>
        <w:lastRenderedPageBreak/>
        <w:t>(...)</w:t>
      </w:r>
    </w:p>
    <w:p w14:paraId="2FC0157F" w14:textId="75E529B2" w:rsidR="00540D5A" w:rsidRPr="007F04BC" w:rsidRDefault="00540D5A" w:rsidP="007F04BC">
      <w:pPr>
        <w:pStyle w:val="JuQuot"/>
        <w:spacing w:line="276" w:lineRule="auto"/>
        <w:rPr>
          <w:rFonts w:eastAsiaTheme="minorEastAsia" w:cstheme="minorHAnsi"/>
          <w:sz w:val="24"/>
        </w:rPr>
      </w:pPr>
      <w:r w:rsidRPr="007F04BC">
        <w:rPr>
          <w:rFonts w:eastAsiaTheme="minorEastAsia" w:cstheme="minorHAnsi"/>
          <w:sz w:val="24"/>
        </w:rPr>
        <w:t>17.  </w:t>
      </w:r>
      <w:r w:rsidR="00035563" w:rsidRPr="007F04BC">
        <w:rPr>
          <w:rFonts w:eastAsiaTheme="minorEastAsia" w:cstheme="minorHAnsi"/>
          <w:sz w:val="24"/>
        </w:rPr>
        <w:t>Sonuç olarak Parlamento Taraf Devletleri</w:t>
      </w:r>
    </w:p>
    <w:p w14:paraId="77056E11" w14:textId="7ADB19D9" w:rsidR="00540D5A" w:rsidRPr="007F04BC" w:rsidRDefault="00540D5A" w:rsidP="007F04BC">
      <w:pPr>
        <w:pStyle w:val="JuQuot"/>
        <w:spacing w:line="276" w:lineRule="auto"/>
        <w:rPr>
          <w:rFonts w:eastAsiaTheme="minorEastAsia" w:cstheme="minorHAnsi"/>
          <w:sz w:val="24"/>
        </w:rPr>
      </w:pPr>
      <w:r w:rsidRPr="007F04BC">
        <w:rPr>
          <w:rFonts w:eastAsiaTheme="minorEastAsia" w:cstheme="minorHAnsi"/>
          <w:sz w:val="24"/>
        </w:rPr>
        <w:t>17. 1.  </w:t>
      </w:r>
      <w:r w:rsidR="00035563" w:rsidRPr="007F04BC">
        <w:rPr>
          <w:rFonts w:eastAsiaTheme="minorEastAsia" w:cstheme="minorHAnsi"/>
          <w:sz w:val="24"/>
        </w:rPr>
        <w:t>Hakaret sebebiyle hapis cezalarını ivedilikle kaldırmaya ;</w:t>
      </w:r>
    </w:p>
    <w:p w14:paraId="265C8693" w14:textId="276180AA" w:rsidR="00540D5A" w:rsidRPr="007F04BC" w:rsidRDefault="00540D5A" w:rsidP="007F04BC">
      <w:pPr>
        <w:pStyle w:val="JuQuot"/>
        <w:spacing w:line="276" w:lineRule="auto"/>
        <w:rPr>
          <w:rFonts w:eastAsiaTheme="minorEastAsia" w:cstheme="minorHAnsi"/>
          <w:sz w:val="24"/>
        </w:rPr>
      </w:pPr>
      <w:r w:rsidRPr="007F04BC">
        <w:rPr>
          <w:rFonts w:eastAsiaTheme="minorEastAsia" w:cstheme="minorHAnsi"/>
          <w:sz w:val="24"/>
        </w:rPr>
        <w:t>17. 2.  </w:t>
      </w:r>
      <w:r w:rsidR="00035563" w:rsidRPr="007F04BC">
        <w:rPr>
          <w:rFonts w:eastAsiaTheme="minorEastAsia" w:cstheme="minorHAnsi"/>
          <w:sz w:val="24"/>
        </w:rPr>
        <w:t>Ceza kovuşturmalarının kötüye kullanılmamasını sağlamaya (…) ;</w:t>
      </w:r>
    </w:p>
    <w:p w14:paraId="46A38DBE" w14:textId="03493BA6" w:rsidR="00540D5A" w:rsidRPr="007F04BC" w:rsidRDefault="00540D5A" w:rsidP="007F04BC">
      <w:pPr>
        <w:pStyle w:val="JuQuot"/>
        <w:spacing w:line="276" w:lineRule="auto"/>
        <w:rPr>
          <w:rFonts w:eastAsiaTheme="minorEastAsia" w:cstheme="minorHAnsi"/>
          <w:sz w:val="24"/>
        </w:rPr>
      </w:pPr>
      <w:r w:rsidRPr="007F04BC">
        <w:rPr>
          <w:rFonts w:eastAsiaTheme="minorEastAsia" w:cstheme="minorHAnsi"/>
          <w:sz w:val="24"/>
        </w:rPr>
        <w:t>17. 3. </w:t>
      </w:r>
      <w:r w:rsidR="00DF0A86" w:rsidRPr="007F04BC">
        <w:rPr>
          <w:rFonts w:eastAsiaTheme="minorEastAsia" w:cstheme="minorHAnsi"/>
          <w:sz w:val="24"/>
        </w:rPr>
        <w:t>Hukukun keyfi olarak uygulanmasının önüne geçmek ve hukukun hakaretten etkilenen kişinin haysiyeti için etkili koruma sağlamasını güvence altına almak amacıyla h</w:t>
      </w:r>
      <w:r w:rsidR="00035563" w:rsidRPr="007F04BC">
        <w:rPr>
          <w:rFonts w:eastAsiaTheme="minorEastAsia" w:cstheme="minorHAnsi"/>
          <w:sz w:val="24"/>
        </w:rPr>
        <w:t xml:space="preserve">akaret kavramını yasalarında </w:t>
      </w:r>
      <w:r w:rsidR="00DF0A86" w:rsidRPr="007F04BC">
        <w:rPr>
          <w:rFonts w:eastAsiaTheme="minorEastAsia" w:cstheme="minorHAnsi"/>
          <w:sz w:val="24"/>
        </w:rPr>
        <w:t>açıkça tanımlamaya ;</w:t>
      </w:r>
    </w:p>
    <w:p w14:paraId="0B8191C9" w14:textId="77777777" w:rsidR="00540D5A" w:rsidRPr="007F04BC" w:rsidRDefault="00540D5A" w:rsidP="007F04BC">
      <w:pPr>
        <w:pStyle w:val="JuQuot"/>
        <w:spacing w:line="276" w:lineRule="auto"/>
        <w:rPr>
          <w:rFonts w:eastAsiaTheme="minorEastAsia" w:cstheme="minorHAnsi"/>
          <w:sz w:val="24"/>
        </w:rPr>
      </w:pPr>
      <w:r w:rsidRPr="007F04BC">
        <w:rPr>
          <w:rFonts w:eastAsiaTheme="minorEastAsia" w:cstheme="minorHAnsi"/>
          <w:sz w:val="24"/>
        </w:rPr>
        <w:t>(...)</w:t>
      </w:r>
    </w:p>
    <w:p w14:paraId="04C284BF" w14:textId="48FBE0EB" w:rsidR="00540D5A" w:rsidRPr="007F04BC" w:rsidRDefault="00540D5A" w:rsidP="007F04BC">
      <w:pPr>
        <w:pStyle w:val="JuQuot"/>
        <w:spacing w:line="276" w:lineRule="auto"/>
        <w:rPr>
          <w:rFonts w:eastAsiaTheme="minorEastAsia" w:cstheme="minorHAnsi"/>
          <w:sz w:val="24"/>
        </w:rPr>
      </w:pPr>
      <w:r w:rsidRPr="007F04BC">
        <w:rPr>
          <w:rFonts w:eastAsiaTheme="minorEastAsia" w:cstheme="minorHAnsi"/>
          <w:sz w:val="24"/>
        </w:rPr>
        <w:t>17. 6.  </w:t>
      </w:r>
      <w:r w:rsidR="00DF0A86" w:rsidRPr="007F04BC">
        <w:rPr>
          <w:rFonts w:eastAsiaTheme="minorEastAsia" w:cstheme="minorHAnsi"/>
          <w:sz w:val="24"/>
        </w:rPr>
        <w:t xml:space="preserve"> Mahkemenin içtihadına uyumlu olarak hakarete ilişkin mevzuattan kamuya mal olmuş kişiler için güçlendirilmiş korumayı çıkarmaya ve özellikle</w:t>
      </w:r>
      <w:r w:rsidR="00862FF4" w:rsidRPr="007F04BC">
        <w:rPr>
          <w:rFonts w:eastAsiaTheme="minorEastAsia" w:cstheme="minorHAnsi"/>
          <w:sz w:val="24"/>
        </w:rPr>
        <w:t> ;</w:t>
      </w:r>
    </w:p>
    <w:p w14:paraId="356B33C2" w14:textId="44E48AAD" w:rsidR="00540D5A" w:rsidRPr="007F04BC" w:rsidRDefault="00540D5A" w:rsidP="007F04BC">
      <w:pPr>
        <w:pStyle w:val="JuQuot"/>
        <w:spacing w:line="276" w:lineRule="auto"/>
        <w:rPr>
          <w:rFonts w:eastAsiaTheme="minorEastAsia" w:cstheme="minorHAnsi"/>
          <w:sz w:val="24"/>
        </w:rPr>
      </w:pPr>
      <w:r w:rsidRPr="007F04BC">
        <w:rPr>
          <w:rFonts w:eastAsiaTheme="minorEastAsia" w:cstheme="minorHAnsi"/>
          <w:sz w:val="24"/>
        </w:rPr>
        <w:t>17. 6. 1.  </w:t>
      </w:r>
      <w:r w:rsidR="00862FF4" w:rsidRPr="007F04BC">
        <w:rPr>
          <w:rFonts w:eastAsiaTheme="minorEastAsia" w:cstheme="minorHAnsi"/>
          <w:sz w:val="24"/>
        </w:rPr>
        <w:t>Türkiye’yi Ceza Kanunu’nun 125. maddesinin 3. fıkrasını değiştirmeye ;</w:t>
      </w:r>
    </w:p>
    <w:p w14:paraId="3F1DEAA8" w14:textId="5C98E7AB" w:rsidR="00862FF4" w:rsidRPr="007F04BC" w:rsidRDefault="00862FF4" w:rsidP="007F04BC">
      <w:pPr>
        <w:pStyle w:val="JuQuot"/>
        <w:spacing w:line="276" w:lineRule="auto"/>
        <w:rPr>
          <w:rFonts w:eastAsiaTheme="minorEastAsia" w:cstheme="minorHAnsi"/>
          <w:sz w:val="24"/>
        </w:rPr>
      </w:pPr>
      <w:r w:rsidRPr="007F04BC">
        <w:rPr>
          <w:rFonts w:eastAsiaTheme="minorEastAsia" w:cstheme="minorHAnsi"/>
          <w:sz w:val="24"/>
        </w:rPr>
        <w:t>Davet etmektedir.</w:t>
      </w:r>
    </w:p>
    <w:p w14:paraId="6CAD5EEF" w14:textId="77777777" w:rsidR="00540D5A" w:rsidRPr="007F04BC" w:rsidRDefault="00540D5A" w:rsidP="007F04BC">
      <w:pPr>
        <w:pStyle w:val="JuQuot"/>
        <w:spacing w:line="276" w:lineRule="auto"/>
        <w:rPr>
          <w:rFonts w:eastAsiaTheme="minorEastAsia" w:cstheme="minorHAnsi"/>
          <w:sz w:val="24"/>
        </w:rPr>
      </w:pPr>
      <w:r w:rsidRPr="007F04BC">
        <w:rPr>
          <w:rFonts w:eastAsiaTheme="minorEastAsia" w:cstheme="minorHAnsi"/>
          <w:sz w:val="24"/>
        </w:rPr>
        <w:t>(...) »</w:t>
      </w:r>
    </w:p>
    <w:p w14:paraId="521FDF46" w14:textId="6209CD0E" w:rsidR="00540D5A" w:rsidRPr="007F04BC" w:rsidRDefault="00862FF4" w:rsidP="007F04BC">
      <w:pPr>
        <w:pStyle w:val="JuParaLast"/>
        <w:numPr>
          <w:ilvl w:val="0"/>
          <w:numId w:val="27"/>
        </w:numPr>
        <w:spacing w:line="276" w:lineRule="auto"/>
        <w:rPr>
          <w:rFonts w:cstheme="minorHAnsi"/>
          <w:b/>
        </w:rPr>
      </w:pPr>
      <w:r w:rsidRPr="007F04BC">
        <w:rPr>
          <w:rFonts w:cstheme="minorHAnsi"/>
          <w:b/>
        </w:rPr>
        <w:t xml:space="preserve">Venedik Komisyonu’nun </w:t>
      </w:r>
      <w:r w:rsidR="00540D5A" w:rsidRPr="007F04BC">
        <w:rPr>
          <w:rFonts w:cstheme="minorHAnsi"/>
          <w:b/>
        </w:rPr>
        <w:t xml:space="preserve">831/2015 </w:t>
      </w:r>
      <w:r w:rsidRPr="007F04BC">
        <w:rPr>
          <w:rFonts w:cstheme="minorHAnsi"/>
          <w:b/>
        </w:rPr>
        <w:t>sayılı Görüşü</w:t>
      </w:r>
    </w:p>
    <w:p w14:paraId="2BC5625D" w14:textId="3D131A05" w:rsidR="00540D5A" w:rsidRPr="007F04BC" w:rsidRDefault="00540D5A" w:rsidP="007F04BC">
      <w:pPr>
        <w:pStyle w:val="JuPara"/>
        <w:spacing w:line="276" w:lineRule="auto"/>
        <w:rPr>
          <w:rFonts w:cstheme="minorHAnsi"/>
        </w:rPr>
      </w:pPr>
      <w:r w:rsidRPr="007F04BC">
        <w:rPr>
          <w:rFonts w:cstheme="minorHAnsi"/>
        </w:rPr>
        <w:fldChar w:fldCharType="begin"/>
      </w:r>
      <w:r w:rsidRPr="007F04BC">
        <w:rPr>
          <w:rFonts w:cstheme="minorHAnsi"/>
        </w:rPr>
        <w:instrText xml:space="preserve"> SEQ level0 \*arabic </w:instrText>
      </w:r>
      <w:r w:rsidRPr="007F04BC">
        <w:rPr>
          <w:rFonts w:cstheme="minorHAnsi"/>
        </w:rPr>
        <w:fldChar w:fldCharType="separate"/>
      </w:r>
      <w:r w:rsidR="00D406AC" w:rsidRPr="007F04BC">
        <w:rPr>
          <w:rFonts w:cstheme="minorHAnsi"/>
          <w:noProof/>
        </w:rPr>
        <w:t>18</w:t>
      </w:r>
      <w:r w:rsidRPr="007F04BC">
        <w:rPr>
          <w:rFonts w:cstheme="minorHAnsi"/>
        </w:rPr>
        <w:fldChar w:fldCharType="end"/>
      </w:r>
      <w:r w:rsidRPr="007F04BC">
        <w:rPr>
          <w:rFonts w:cstheme="minorHAnsi"/>
        </w:rPr>
        <w:t>.  </w:t>
      </w:r>
      <w:r w:rsidR="00051BF6" w:rsidRPr="007F04BC">
        <w:rPr>
          <w:rFonts w:cstheme="minorHAnsi"/>
        </w:rPr>
        <w:t>Venedik Komisyonu</w:t>
      </w:r>
      <w:r w:rsidR="00907C66" w:rsidRPr="007F04BC">
        <w:rPr>
          <w:rFonts w:cstheme="minorHAnsi"/>
        </w:rPr>
        <w:t xml:space="preserve"> </w:t>
      </w:r>
      <w:r w:rsidR="00581D6B" w:rsidRPr="007F04BC">
        <w:rPr>
          <w:rFonts w:cstheme="minorHAnsi"/>
        </w:rPr>
        <w:t xml:space="preserve">(Avrupa Hukuk Yoluyla Demokrasi Komisyonu) </w:t>
      </w:r>
      <w:r w:rsidR="00907C66" w:rsidRPr="007F04BC">
        <w:rPr>
          <w:rFonts w:cstheme="minorHAnsi"/>
        </w:rPr>
        <w:t>tarafından 106. Genel Kurul</w:t>
      </w:r>
      <w:r w:rsidR="00894976" w:rsidRPr="007F04BC">
        <w:rPr>
          <w:rFonts w:cstheme="minorHAnsi"/>
        </w:rPr>
        <w:t>’da</w:t>
      </w:r>
      <w:r w:rsidR="00603E08" w:rsidRPr="007F04BC">
        <w:rPr>
          <w:rFonts w:cstheme="minorHAnsi"/>
        </w:rPr>
        <w:t xml:space="preserve"> </w:t>
      </w:r>
      <w:r w:rsidR="00907C66" w:rsidRPr="007F04BC">
        <w:rPr>
          <w:rFonts w:cstheme="minorHAnsi"/>
        </w:rPr>
        <w:t xml:space="preserve">kabul edilen </w:t>
      </w:r>
      <w:r w:rsidR="00BA08C1" w:rsidRPr="007F04BC">
        <w:rPr>
          <w:rFonts w:cstheme="minorHAnsi"/>
        </w:rPr>
        <w:t>Türk Ceza Ka</w:t>
      </w:r>
      <w:r w:rsidR="00F95636" w:rsidRPr="007F04BC">
        <w:rPr>
          <w:rFonts w:cstheme="minorHAnsi"/>
        </w:rPr>
        <w:t>nunu’nun 216, 299, 301 ve 314. M</w:t>
      </w:r>
      <w:r w:rsidR="00BA08C1" w:rsidRPr="007F04BC">
        <w:rPr>
          <w:rFonts w:cstheme="minorHAnsi"/>
        </w:rPr>
        <w:t xml:space="preserve">addelerine İlişkin </w:t>
      </w:r>
      <w:r w:rsidR="00680DA0" w:rsidRPr="007F04BC">
        <w:rPr>
          <w:rFonts w:cstheme="minorHAnsi"/>
        </w:rPr>
        <w:t xml:space="preserve">831/2015 sayılı </w:t>
      </w:r>
      <w:r w:rsidR="00BA08C1" w:rsidRPr="007F04BC">
        <w:rPr>
          <w:rFonts w:cstheme="minorHAnsi"/>
        </w:rPr>
        <w:t>Görü</w:t>
      </w:r>
      <w:r w:rsidR="00581D6B" w:rsidRPr="007F04BC">
        <w:rPr>
          <w:rFonts w:cstheme="minorHAnsi"/>
        </w:rPr>
        <w:t xml:space="preserve">şün </w:t>
      </w:r>
      <w:r w:rsidR="004C23EB" w:rsidRPr="007F04BC">
        <w:rPr>
          <w:rFonts w:cstheme="minorHAnsi"/>
        </w:rPr>
        <w:t xml:space="preserve">(Venedik 11-12 Mart 2016, CDL-AD(2016)002) </w:t>
      </w:r>
      <w:r w:rsidR="00581D6B" w:rsidRPr="007F04BC">
        <w:rPr>
          <w:rFonts w:cstheme="minorHAnsi"/>
        </w:rPr>
        <w:t>alıntı</w:t>
      </w:r>
      <w:r w:rsidR="00F95636" w:rsidRPr="007F04BC">
        <w:rPr>
          <w:rFonts w:cstheme="minorHAnsi"/>
        </w:rPr>
        <w:t>lanan ilgili kısımları şöyledir</w:t>
      </w:r>
      <w:r w:rsidR="00581D6B" w:rsidRPr="007F04BC">
        <w:rPr>
          <w:rFonts w:cstheme="minorHAnsi"/>
        </w:rPr>
        <w:t xml:space="preserve">: </w:t>
      </w:r>
    </w:p>
    <w:p w14:paraId="4E5B4CC5" w14:textId="77777777" w:rsidR="00540D5A" w:rsidRPr="007F04BC" w:rsidRDefault="00540D5A" w:rsidP="007F04BC">
      <w:pPr>
        <w:pStyle w:val="JuQuot"/>
        <w:spacing w:line="276" w:lineRule="auto"/>
        <w:rPr>
          <w:rFonts w:cstheme="minorHAnsi"/>
          <w:sz w:val="24"/>
        </w:rPr>
      </w:pPr>
      <w:r w:rsidRPr="007F04BC">
        <w:rPr>
          <w:rFonts w:cstheme="minorHAnsi"/>
          <w:sz w:val="24"/>
        </w:rPr>
        <w:t xml:space="preserve"> « (...)</w:t>
      </w:r>
    </w:p>
    <w:p w14:paraId="1F9D0A3E" w14:textId="316B6A01" w:rsidR="00540D5A" w:rsidRPr="007F04BC" w:rsidRDefault="00540D5A" w:rsidP="007F04BC">
      <w:pPr>
        <w:pStyle w:val="JuQuot"/>
        <w:spacing w:line="276" w:lineRule="auto"/>
        <w:rPr>
          <w:rFonts w:cstheme="minorHAnsi"/>
          <w:sz w:val="24"/>
        </w:rPr>
      </w:pPr>
      <w:r w:rsidRPr="007F04BC">
        <w:rPr>
          <w:rFonts w:cstheme="minorHAnsi"/>
          <w:sz w:val="24"/>
        </w:rPr>
        <w:t xml:space="preserve">57. </w:t>
      </w:r>
      <w:r w:rsidR="00FB744B" w:rsidRPr="007F04BC">
        <w:rPr>
          <w:rFonts w:cstheme="minorHAnsi"/>
          <w:sz w:val="24"/>
        </w:rPr>
        <w:t>Avrupa’daki gelişmeler gösteriyor ki</w:t>
      </w:r>
      <w:r w:rsidR="00B81366" w:rsidRPr="007F04BC">
        <w:rPr>
          <w:rFonts w:cstheme="minorHAnsi"/>
          <w:sz w:val="24"/>
        </w:rPr>
        <w:t xml:space="preserve"> Devlet Başkanına hakareti suç olmaktan çıkarmak </w:t>
      </w:r>
      <w:r w:rsidR="00D07650" w:rsidRPr="007F04BC">
        <w:rPr>
          <w:rFonts w:cstheme="minorHAnsi"/>
          <w:sz w:val="24"/>
        </w:rPr>
        <w:t xml:space="preserve">ya da bu suçu </w:t>
      </w:r>
      <w:r w:rsidR="00820330" w:rsidRPr="007F04BC">
        <w:rPr>
          <w:rFonts w:cstheme="minorHAnsi"/>
          <w:sz w:val="24"/>
        </w:rPr>
        <w:t xml:space="preserve">Devlet başkanlarına yönelik </w:t>
      </w:r>
      <w:r w:rsidR="00D07650" w:rsidRPr="007F04BC">
        <w:rPr>
          <w:rFonts w:cstheme="minorHAnsi"/>
          <w:sz w:val="24"/>
        </w:rPr>
        <w:t>sözlü saldırıların</w:t>
      </w:r>
      <w:r w:rsidR="00C559F9" w:rsidRPr="007F04BC">
        <w:rPr>
          <w:rFonts w:cstheme="minorHAnsi"/>
          <w:sz w:val="24"/>
        </w:rPr>
        <w:t xml:space="preserve"> en ağır </w:t>
      </w:r>
      <w:r w:rsidR="00820330" w:rsidRPr="007F04BC">
        <w:rPr>
          <w:rFonts w:cstheme="minorHAnsi"/>
          <w:sz w:val="24"/>
        </w:rPr>
        <w:t>biçimleriyle</w:t>
      </w:r>
      <w:r w:rsidR="00C559F9" w:rsidRPr="007F04BC">
        <w:rPr>
          <w:rFonts w:cstheme="minorHAnsi"/>
          <w:sz w:val="24"/>
        </w:rPr>
        <w:t xml:space="preserve"> </w:t>
      </w:r>
      <w:r w:rsidR="00C71AFF" w:rsidRPr="007F04BC">
        <w:rPr>
          <w:rFonts w:cstheme="minorHAnsi"/>
          <w:sz w:val="24"/>
        </w:rPr>
        <w:t>ve hapis cezası içermeyen yaptırımlar</w:t>
      </w:r>
      <w:r w:rsidR="00B460E2" w:rsidRPr="007F04BC">
        <w:rPr>
          <w:rFonts w:cstheme="minorHAnsi"/>
          <w:sz w:val="24"/>
        </w:rPr>
        <w:t xml:space="preserve">la sınırlanmak gerektiği konusunda </w:t>
      </w:r>
      <w:r w:rsidR="00B85738" w:rsidRPr="007F04BC">
        <w:rPr>
          <w:rFonts w:cstheme="minorHAnsi"/>
          <w:sz w:val="24"/>
        </w:rPr>
        <w:t xml:space="preserve">ortaya çıkan </w:t>
      </w:r>
      <w:r w:rsidR="00B460E2" w:rsidRPr="007F04BC">
        <w:rPr>
          <w:rFonts w:cstheme="minorHAnsi"/>
          <w:sz w:val="24"/>
        </w:rPr>
        <w:t>bir fikir birliği</w:t>
      </w:r>
      <w:r w:rsidR="00B85738" w:rsidRPr="007F04BC">
        <w:rPr>
          <w:rFonts w:cstheme="minorHAnsi"/>
          <w:sz w:val="24"/>
        </w:rPr>
        <w:t xml:space="preserve"> vardır. </w:t>
      </w:r>
      <w:r w:rsidR="006751DE" w:rsidRPr="007F04BC">
        <w:rPr>
          <w:rFonts w:cstheme="minorHAnsi"/>
          <w:sz w:val="24"/>
        </w:rPr>
        <w:t>Ceza Kanunu’nun 299. maddesinin lafzı</w:t>
      </w:r>
      <w:r w:rsidR="004B7CDC" w:rsidRPr="007F04BC">
        <w:rPr>
          <w:rFonts w:cstheme="minorHAnsi"/>
          <w:sz w:val="24"/>
        </w:rPr>
        <w:t xml:space="preserve"> bu ortaya çıkan Avrupa fikir birliği ile uyuşmamaktadır, zira </w:t>
      </w:r>
      <w:r w:rsidR="00A51213" w:rsidRPr="007F04BC">
        <w:rPr>
          <w:rFonts w:cstheme="minorHAnsi"/>
          <w:sz w:val="24"/>
        </w:rPr>
        <w:t>bir yıldan (en az) dört yıla kadar hapis cezası öng</w:t>
      </w:r>
      <w:r w:rsidR="00EC30EB" w:rsidRPr="007F04BC">
        <w:rPr>
          <w:rFonts w:cstheme="minorHAnsi"/>
          <w:sz w:val="24"/>
        </w:rPr>
        <w:t xml:space="preserve">örmektedir ; dahası, 2. fıkrası uyarınca </w:t>
      </w:r>
      <w:r w:rsidR="00D74670" w:rsidRPr="007F04BC">
        <w:rPr>
          <w:rFonts w:cstheme="minorHAnsi"/>
          <w:sz w:val="24"/>
        </w:rPr>
        <w:t xml:space="preserve">suçun alenen işlenmesi </w:t>
      </w:r>
      <w:r w:rsidR="00A273E6" w:rsidRPr="007F04BC">
        <w:rPr>
          <w:rFonts w:cstheme="minorHAnsi"/>
          <w:sz w:val="24"/>
        </w:rPr>
        <w:t xml:space="preserve">durumunda ceza </w:t>
      </w:r>
      <w:r w:rsidR="003266CC" w:rsidRPr="007F04BC">
        <w:rPr>
          <w:rFonts w:cstheme="minorHAnsi"/>
          <w:sz w:val="24"/>
        </w:rPr>
        <w:t xml:space="preserve">hakim tarafından indirilebilse, </w:t>
      </w:r>
      <w:r w:rsidR="00F34E46" w:rsidRPr="007F04BC">
        <w:rPr>
          <w:rFonts w:cstheme="minorHAnsi"/>
          <w:sz w:val="24"/>
        </w:rPr>
        <w:t xml:space="preserve">para cezasına çevrilebilse veya </w:t>
      </w:r>
      <w:r w:rsidR="000B52D8" w:rsidRPr="007F04BC">
        <w:rPr>
          <w:rFonts w:cstheme="minorHAnsi"/>
          <w:sz w:val="24"/>
        </w:rPr>
        <w:t xml:space="preserve">hükmün açıklanması geriye bırakılabilse bile </w:t>
      </w:r>
      <w:r w:rsidR="00A273E6" w:rsidRPr="007F04BC">
        <w:rPr>
          <w:rFonts w:cstheme="minorHAnsi"/>
          <w:sz w:val="24"/>
        </w:rPr>
        <w:t xml:space="preserve">altıda bir </w:t>
      </w:r>
      <w:r w:rsidR="00A273E6" w:rsidRPr="007F04BC">
        <w:rPr>
          <w:rFonts w:cstheme="minorHAnsi"/>
          <w:sz w:val="24"/>
        </w:rPr>
        <w:lastRenderedPageBreak/>
        <w:t>oranında arttırıl</w:t>
      </w:r>
      <w:r w:rsidR="00C83046" w:rsidRPr="007F04BC">
        <w:rPr>
          <w:rFonts w:cstheme="minorHAnsi"/>
          <w:sz w:val="24"/>
        </w:rPr>
        <w:t>maktadır.</w:t>
      </w:r>
      <w:r w:rsidR="00B36241" w:rsidRPr="007F04BC">
        <w:rPr>
          <w:rFonts w:cstheme="minorHAnsi"/>
          <w:sz w:val="24"/>
        </w:rPr>
        <w:t xml:space="preserve"> Bununla birlikte, </w:t>
      </w:r>
      <w:r w:rsidR="00103A9B" w:rsidRPr="007F04BC">
        <w:rPr>
          <w:rFonts w:cstheme="minorHAnsi"/>
          <w:sz w:val="24"/>
        </w:rPr>
        <w:t>bu hükmün uluslararası standar</w:t>
      </w:r>
      <w:r w:rsidR="003C6530" w:rsidRPr="007F04BC">
        <w:rPr>
          <w:rFonts w:cstheme="minorHAnsi"/>
          <w:sz w:val="24"/>
        </w:rPr>
        <w:t>t</w:t>
      </w:r>
      <w:r w:rsidR="00103A9B" w:rsidRPr="007F04BC">
        <w:rPr>
          <w:rFonts w:cstheme="minorHAnsi"/>
          <w:sz w:val="24"/>
        </w:rPr>
        <w:t>lara ve ortaya çıkan Avrupa fikir birliğine uygunluğunu değerlendirmek için</w:t>
      </w:r>
      <w:r w:rsidR="005B16A5" w:rsidRPr="007F04BC">
        <w:rPr>
          <w:rFonts w:cstheme="minorHAnsi"/>
          <w:sz w:val="24"/>
        </w:rPr>
        <w:t xml:space="preserve"> uygulamadaki özellikle gazetecilere ilişkin olan somut örnekler</w:t>
      </w:r>
      <w:r w:rsidR="00862BCE" w:rsidRPr="007F04BC">
        <w:rPr>
          <w:rFonts w:cstheme="minorHAnsi"/>
          <w:sz w:val="24"/>
        </w:rPr>
        <w:t xml:space="preserve"> dikkate alınmalıdır.</w:t>
      </w:r>
    </w:p>
    <w:p w14:paraId="669EBCD8" w14:textId="77777777" w:rsidR="00540D5A" w:rsidRPr="007F04BC" w:rsidRDefault="00540D5A" w:rsidP="007F04BC">
      <w:pPr>
        <w:pStyle w:val="JuQuot"/>
        <w:spacing w:line="276" w:lineRule="auto"/>
        <w:rPr>
          <w:rFonts w:cstheme="minorHAnsi"/>
          <w:sz w:val="24"/>
        </w:rPr>
      </w:pPr>
      <w:r w:rsidRPr="007F04BC">
        <w:rPr>
          <w:rFonts w:cstheme="minorHAnsi"/>
          <w:sz w:val="24"/>
        </w:rPr>
        <w:t>(...)</w:t>
      </w:r>
    </w:p>
    <w:p w14:paraId="7CAEE3B9" w14:textId="3CFC067E" w:rsidR="00862BCE" w:rsidRPr="007F04BC" w:rsidRDefault="00540D5A" w:rsidP="007F04BC">
      <w:pPr>
        <w:pStyle w:val="JuQuot"/>
        <w:spacing w:line="276" w:lineRule="auto"/>
        <w:rPr>
          <w:rFonts w:cstheme="minorHAnsi"/>
          <w:sz w:val="24"/>
        </w:rPr>
      </w:pPr>
      <w:r w:rsidRPr="007F04BC">
        <w:rPr>
          <w:rFonts w:cstheme="minorHAnsi"/>
          <w:sz w:val="24"/>
        </w:rPr>
        <w:t xml:space="preserve">66. </w:t>
      </w:r>
      <w:r w:rsidR="00862BCE" w:rsidRPr="007F04BC">
        <w:rPr>
          <w:rFonts w:cstheme="minorHAnsi"/>
          <w:sz w:val="24"/>
        </w:rPr>
        <w:t>Venedik Komisyonu</w:t>
      </w:r>
      <w:r w:rsidR="002B6D6C" w:rsidRPr="007F04BC">
        <w:rPr>
          <w:rFonts w:cstheme="minorHAnsi"/>
          <w:sz w:val="24"/>
        </w:rPr>
        <w:t xml:space="preserve"> Cumhurbaşkanına hakaret </w:t>
      </w:r>
      <w:r w:rsidR="00ED527B" w:rsidRPr="007F04BC">
        <w:rPr>
          <w:rFonts w:cstheme="minorHAnsi"/>
          <w:sz w:val="24"/>
        </w:rPr>
        <w:t xml:space="preserve">sebebiyle </w:t>
      </w:r>
      <w:r w:rsidR="002722D4" w:rsidRPr="007F04BC">
        <w:rPr>
          <w:rFonts w:cstheme="minorHAnsi"/>
          <w:sz w:val="24"/>
        </w:rPr>
        <w:t>basında yer alan çok sayıda soruşturma, kovuşturma ve mahkumiyet olduğunu endişeyle kaydetmektedir.</w:t>
      </w:r>
      <w:r w:rsidR="00D52993" w:rsidRPr="007F04BC">
        <w:rPr>
          <w:rFonts w:cstheme="minorHAnsi"/>
          <w:sz w:val="24"/>
        </w:rPr>
        <w:t xml:space="preserve"> Avrupa Komisyonu’nun 2015 tarihli Türkiye raporun</w:t>
      </w:r>
      <w:r w:rsidR="0028280B" w:rsidRPr="007F04BC">
        <w:rPr>
          <w:rFonts w:cstheme="minorHAnsi"/>
          <w:sz w:val="24"/>
        </w:rPr>
        <w:t xml:space="preserve">da </w:t>
      </w:r>
      <w:r w:rsidR="00702A68" w:rsidRPr="007F04BC">
        <w:rPr>
          <w:rFonts w:cstheme="minorHAnsi"/>
          <w:sz w:val="24"/>
        </w:rPr>
        <w:t>« </w:t>
      </w:r>
      <w:r w:rsidR="008612EE" w:rsidRPr="007F04BC">
        <w:rPr>
          <w:rFonts w:cstheme="minorHAnsi"/>
          <w:sz w:val="24"/>
        </w:rPr>
        <w:t xml:space="preserve">Cumhurbaşkanına hakaret iddiasıyla gazetecilere, yazarlara, sosyal medya kullanıcılarına ve </w:t>
      </w:r>
      <w:r w:rsidR="00644843" w:rsidRPr="007F04BC">
        <w:rPr>
          <w:rFonts w:cstheme="minorHAnsi"/>
          <w:sz w:val="24"/>
        </w:rPr>
        <w:t>kamuoyunun diğer üyelerin</w:t>
      </w:r>
      <w:r w:rsidR="00A00473" w:rsidRPr="007F04BC">
        <w:rPr>
          <w:rFonts w:cstheme="minorHAnsi"/>
          <w:sz w:val="24"/>
        </w:rPr>
        <w:t>e açılmış ve</w:t>
      </w:r>
      <w:r w:rsidR="00644843" w:rsidRPr="007F04BC">
        <w:rPr>
          <w:rFonts w:cstheme="minorHAnsi"/>
          <w:sz w:val="24"/>
        </w:rPr>
        <w:t xml:space="preserve"> </w:t>
      </w:r>
      <w:r w:rsidR="00C804A4" w:rsidRPr="007F04BC">
        <w:rPr>
          <w:rFonts w:cstheme="minorHAnsi"/>
          <w:sz w:val="24"/>
        </w:rPr>
        <w:t>hapis cezası, para cezası ya da hükmün açıklanmasının geri bırakılmas</w:t>
      </w:r>
      <w:r w:rsidR="00A00473" w:rsidRPr="007F04BC">
        <w:rPr>
          <w:rFonts w:cstheme="minorHAnsi"/>
          <w:sz w:val="24"/>
        </w:rPr>
        <w:t>ı</w:t>
      </w:r>
      <w:r w:rsidR="008A696B" w:rsidRPr="007F04BC">
        <w:rPr>
          <w:rFonts w:cstheme="minorHAnsi"/>
          <w:sz w:val="24"/>
        </w:rPr>
        <w:t xml:space="preserve"> ile sonuçlanan çok sayıda dava olduğunu » </w:t>
      </w:r>
      <w:r w:rsidR="0028280B" w:rsidRPr="007F04BC">
        <w:rPr>
          <w:rFonts w:cstheme="minorHAnsi"/>
          <w:sz w:val="24"/>
        </w:rPr>
        <w:t>vurgula</w:t>
      </w:r>
      <w:r w:rsidR="00702A68" w:rsidRPr="007F04BC">
        <w:rPr>
          <w:rFonts w:cstheme="minorHAnsi"/>
          <w:sz w:val="24"/>
        </w:rPr>
        <w:t>dığını hatırlatmaktadır.</w:t>
      </w:r>
      <w:r w:rsidR="00A0064E" w:rsidRPr="007F04BC">
        <w:rPr>
          <w:rFonts w:cstheme="minorHAnsi"/>
          <w:sz w:val="24"/>
        </w:rPr>
        <w:t xml:space="preserve"> Aynı rapora göre </w:t>
      </w:r>
      <w:r w:rsidR="005F630E" w:rsidRPr="007F04BC">
        <w:rPr>
          <w:rFonts w:cstheme="minorHAnsi"/>
          <w:sz w:val="24"/>
        </w:rPr>
        <w:t>bu ürkütücü iklim,</w:t>
      </w:r>
      <w:r w:rsidR="00CF3CA7" w:rsidRPr="007F04BC">
        <w:rPr>
          <w:rFonts w:cstheme="minorHAnsi"/>
          <w:sz w:val="24"/>
        </w:rPr>
        <w:t xml:space="preserve"> otosansüre yol açmaktadır. </w:t>
      </w:r>
      <w:r w:rsidR="007E2DBA" w:rsidRPr="007F04BC">
        <w:rPr>
          <w:rFonts w:cstheme="minorHAnsi"/>
          <w:sz w:val="24"/>
        </w:rPr>
        <w:t xml:space="preserve">Ayrıca </w:t>
      </w:r>
      <w:r w:rsidR="00563309" w:rsidRPr="007F04BC">
        <w:rPr>
          <w:rFonts w:cstheme="minorHAnsi"/>
          <w:sz w:val="24"/>
        </w:rPr>
        <w:t>yakın tarihli basın raporların</w:t>
      </w:r>
      <w:r w:rsidR="00CF1C8C" w:rsidRPr="007F04BC">
        <w:rPr>
          <w:rFonts w:cstheme="minorHAnsi"/>
          <w:sz w:val="24"/>
        </w:rPr>
        <w:t>a göre</w:t>
      </w:r>
      <w:r w:rsidR="00563309" w:rsidRPr="007F04BC">
        <w:rPr>
          <w:rFonts w:cstheme="minorHAnsi"/>
          <w:sz w:val="24"/>
        </w:rPr>
        <w:t xml:space="preserve"> 6 Ocak 2016 tarihinde </w:t>
      </w:r>
      <w:r w:rsidR="00CF1C8C" w:rsidRPr="007F04BC">
        <w:rPr>
          <w:rFonts w:cstheme="minorHAnsi"/>
          <w:sz w:val="24"/>
        </w:rPr>
        <w:t>Emniyet Genel Müdürlüğü</w:t>
      </w:r>
      <w:r w:rsidR="00B842FE" w:rsidRPr="007F04BC">
        <w:rPr>
          <w:rFonts w:cstheme="minorHAnsi"/>
          <w:sz w:val="24"/>
        </w:rPr>
        <w:t xml:space="preserve"> il emniyet müdürlüklerine</w:t>
      </w:r>
      <w:r w:rsidR="00BA56F3" w:rsidRPr="007F04BC">
        <w:rPr>
          <w:rFonts w:cstheme="minorHAnsi"/>
          <w:sz w:val="24"/>
        </w:rPr>
        <w:t xml:space="preserve"> </w:t>
      </w:r>
      <w:r w:rsidR="00297A60" w:rsidRPr="007F04BC">
        <w:rPr>
          <w:rFonts w:cstheme="minorHAnsi"/>
          <w:sz w:val="24"/>
        </w:rPr>
        <w:t xml:space="preserve">Cumhurbaşkanı dahil olmak üzere </w:t>
      </w:r>
      <w:r w:rsidR="005C75AF" w:rsidRPr="007F04BC">
        <w:rPr>
          <w:rFonts w:cstheme="minorHAnsi"/>
          <w:sz w:val="24"/>
        </w:rPr>
        <w:t>Devlet büyüklerine yönelik yapılan hakaret içerikli</w:t>
      </w:r>
      <w:r w:rsidR="00247165" w:rsidRPr="007F04BC">
        <w:rPr>
          <w:rFonts w:cstheme="minorHAnsi"/>
          <w:sz w:val="24"/>
        </w:rPr>
        <w:t xml:space="preserve"> gelişmelerle ilgili olarak ivedilikle adli işlem başlatılmasını </w:t>
      </w:r>
      <w:r w:rsidR="00BA56F3" w:rsidRPr="007F04BC">
        <w:rPr>
          <w:rFonts w:cstheme="minorHAnsi"/>
          <w:sz w:val="24"/>
        </w:rPr>
        <w:t>bildiren yazı göndermiştir</w:t>
      </w:r>
      <w:r w:rsidR="00247165" w:rsidRPr="007F04BC">
        <w:rPr>
          <w:rFonts w:cstheme="minorHAnsi"/>
          <w:sz w:val="24"/>
        </w:rPr>
        <w:t>.</w:t>
      </w:r>
    </w:p>
    <w:p w14:paraId="3C656CC8" w14:textId="77777777" w:rsidR="00540D5A" w:rsidRPr="007F04BC" w:rsidRDefault="00540D5A" w:rsidP="007F04BC">
      <w:pPr>
        <w:pStyle w:val="JuQuot"/>
        <w:spacing w:line="276" w:lineRule="auto"/>
        <w:rPr>
          <w:rFonts w:cstheme="minorHAnsi"/>
          <w:sz w:val="24"/>
        </w:rPr>
      </w:pPr>
      <w:r w:rsidRPr="007F04BC">
        <w:rPr>
          <w:rFonts w:cstheme="minorHAnsi"/>
          <w:sz w:val="24"/>
        </w:rPr>
        <w:t>(...)</w:t>
      </w:r>
    </w:p>
    <w:p w14:paraId="1A0AF9D1" w14:textId="753BEF18" w:rsidR="00540D5A" w:rsidRPr="007F04BC" w:rsidRDefault="00540D5A" w:rsidP="007F04BC">
      <w:pPr>
        <w:pStyle w:val="JuQuot"/>
        <w:spacing w:line="276" w:lineRule="auto"/>
        <w:rPr>
          <w:rFonts w:cstheme="minorHAnsi"/>
          <w:sz w:val="24"/>
        </w:rPr>
      </w:pPr>
      <w:r w:rsidRPr="007F04BC">
        <w:rPr>
          <w:rFonts w:cstheme="minorHAnsi"/>
          <w:sz w:val="24"/>
        </w:rPr>
        <w:t xml:space="preserve">70. </w:t>
      </w:r>
      <w:r w:rsidR="00C066A6" w:rsidRPr="007F04BC">
        <w:rPr>
          <w:rFonts w:cstheme="minorHAnsi"/>
          <w:sz w:val="24"/>
        </w:rPr>
        <w:t>Cumhurbaşkanına</w:t>
      </w:r>
      <w:r w:rsidR="00E651F4" w:rsidRPr="007F04BC">
        <w:rPr>
          <w:rFonts w:cstheme="minorHAnsi"/>
          <w:sz w:val="24"/>
        </w:rPr>
        <w:t xml:space="preserve"> haksız saldırı olması durumunda </w:t>
      </w:r>
      <w:r w:rsidR="00BE4112" w:rsidRPr="007F04BC">
        <w:rPr>
          <w:rFonts w:cstheme="minorHAnsi"/>
          <w:sz w:val="24"/>
        </w:rPr>
        <w:t xml:space="preserve">Ceza Kanunu’nun 299. </w:t>
      </w:r>
      <w:r w:rsidR="008C5364" w:rsidRPr="007F04BC">
        <w:rPr>
          <w:rFonts w:cstheme="minorHAnsi"/>
          <w:sz w:val="24"/>
        </w:rPr>
        <w:t>m</w:t>
      </w:r>
      <w:r w:rsidR="00BE4112" w:rsidRPr="007F04BC">
        <w:rPr>
          <w:rFonts w:cstheme="minorHAnsi"/>
          <w:sz w:val="24"/>
        </w:rPr>
        <w:t xml:space="preserve">addesine dayanan ceza yargılaması yerine </w:t>
      </w:r>
      <w:r w:rsidR="00E651F4" w:rsidRPr="007F04BC">
        <w:rPr>
          <w:rFonts w:cstheme="minorHAnsi"/>
          <w:sz w:val="24"/>
        </w:rPr>
        <w:t>hukuk davası ya da sadece en ağır</w:t>
      </w:r>
      <w:r w:rsidR="00233479" w:rsidRPr="007F04BC">
        <w:rPr>
          <w:rFonts w:cstheme="minorHAnsi"/>
          <w:sz w:val="24"/>
        </w:rPr>
        <w:t xml:space="preserve"> durumlarda Ceza Kanunu’nun hakarete ilişkin</w:t>
      </w:r>
      <w:r w:rsidR="003840A5" w:rsidRPr="007F04BC">
        <w:rPr>
          <w:rFonts w:cstheme="minorHAnsi"/>
          <w:sz w:val="24"/>
        </w:rPr>
        <w:t xml:space="preserve"> genel hükümlerine (Ceza K</w:t>
      </w:r>
      <w:r w:rsidR="006E5BD6" w:rsidRPr="007F04BC">
        <w:rPr>
          <w:rFonts w:cstheme="minorHAnsi"/>
          <w:sz w:val="24"/>
        </w:rPr>
        <w:t>a</w:t>
      </w:r>
      <w:r w:rsidR="003840A5" w:rsidRPr="007F04BC">
        <w:rPr>
          <w:rFonts w:cstheme="minorHAnsi"/>
          <w:sz w:val="24"/>
        </w:rPr>
        <w:t>nunun</w:t>
      </w:r>
      <w:r w:rsidR="006E5BD6" w:rsidRPr="007F04BC">
        <w:rPr>
          <w:rFonts w:cstheme="minorHAnsi"/>
          <w:sz w:val="24"/>
        </w:rPr>
        <w:t>un 125. maddesi)</w:t>
      </w:r>
      <w:r w:rsidR="003840A5" w:rsidRPr="007F04BC">
        <w:rPr>
          <w:rFonts w:cstheme="minorHAnsi"/>
          <w:sz w:val="24"/>
        </w:rPr>
        <w:t xml:space="preserve"> dayanan ce</w:t>
      </w:r>
      <w:r w:rsidR="006E5BD6" w:rsidRPr="007F04BC">
        <w:rPr>
          <w:rFonts w:cstheme="minorHAnsi"/>
          <w:sz w:val="24"/>
        </w:rPr>
        <w:t>za yargılaması</w:t>
      </w:r>
      <w:r w:rsidR="00BE4112" w:rsidRPr="007F04BC">
        <w:rPr>
          <w:rFonts w:cstheme="minorHAnsi"/>
          <w:sz w:val="24"/>
        </w:rPr>
        <w:t xml:space="preserve"> tercih edilmelidir.</w:t>
      </w:r>
      <w:r w:rsidR="00E349EC" w:rsidRPr="007F04BC">
        <w:rPr>
          <w:rFonts w:cstheme="minorHAnsi"/>
          <w:sz w:val="24"/>
        </w:rPr>
        <w:t xml:space="preserve"> Bu tür davalarda </w:t>
      </w:r>
      <w:r w:rsidR="007129E5" w:rsidRPr="007F04BC">
        <w:rPr>
          <w:rFonts w:cstheme="minorHAnsi"/>
          <w:sz w:val="24"/>
        </w:rPr>
        <w:t xml:space="preserve">hukuk yargılamaları </w:t>
      </w:r>
      <w:r w:rsidR="00636300" w:rsidRPr="007F04BC">
        <w:rPr>
          <w:rFonts w:cstheme="minorHAnsi"/>
          <w:sz w:val="24"/>
        </w:rPr>
        <w:t xml:space="preserve">çerçevesinde hükmedilen tazminatın ya da hakarete ilişkin </w:t>
      </w:r>
      <w:r w:rsidR="00D3175F" w:rsidRPr="007F04BC">
        <w:rPr>
          <w:rFonts w:cstheme="minorHAnsi"/>
          <w:sz w:val="24"/>
        </w:rPr>
        <w:t>genel hük</w:t>
      </w:r>
      <w:r w:rsidR="00BD5A31" w:rsidRPr="007F04BC">
        <w:rPr>
          <w:rFonts w:cstheme="minorHAnsi"/>
          <w:sz w:val="24"/>
        </w:rPr>
        <w:t xml:space="preserve">me dayanan ceza yaptırımlarının </w:t>
      </w:r>
      <w:r w:rsidR="00AA6FC8" w:rsidRPr="007F04BC">
        <w:rPr>
          <w:rFonts w:cstheme="minorHAnsi"/>
          <w:sz w:val="24"/>
        </w:rPr>
        <w:t>orantılılığı,</w:t>
      </w:r>
      <w:r w:rsidR="00CC4935" w:rsidRPr="007F04BC">
        <w:rPr>
          <w:rFonts w:cstheme="minorHAnsi"/>
          <w:sz w:val="24"/>
        </w:rPr>
        <w:t xml:space="preserve"> AİHS’in 10. maddesinin 2. fıkrasındaki sınırlamalara</w:t>
      </w:r>
      <w:r w:rsidR="001C4F50" w:rsidRPr="007F04BC">
        <w:rPr>
          <w:rFonts w:cstheme="minorHAnsi"/>
          <w:sz w:val="24"/>
        </w:rPr>
        <w:t xml:space="preserve"> </w:t>
      </w:r>
      <w:r w:rsidR="00FD5A8B" w:rsidRPr="007F04BC">
        <w:rPr>
          <w:rFonts w:cstheme="minorHAnsi"/>
          <w:sz w:val="24"/>
        </w:rPr>
        <w:t xml:space="preserve">uygunluğu açısından son derece </w:t>
      </w:r>
      <w:r w:rsidR="00F74419" w:rsidRPr="007F04BC">
        <w:rPr>
          <w:rFonts w:cstheme="minorHAnsi"/>
          <w:sz w:val="24"/>
        </w:rPr>
        <w:t>önem taşımaktadır.</w:t>
      </w:r>
    </w:p>
    <w:p w14:paraId="321E9381" w14:textId="77777777" w:rsidR="00540D5A" w:rsidRPr="007F04BC" w:rsidRDefault="00540D5A" w:rsidP="007F04BC">
      <w:pPr>
        <w:pStyle w:val="JuQuot"/>
        <w:spacing w:line="276" w:lineRule="auto"/>
        <w:rPr>
          <w:rFonts w:cstheme="minorHAnsi"/>
          <w:sz w:val="24"/>
        </w:rPr>
      </w:pPr>
      <w:r w:rsidRPr="007F04BC">
        <w:rPr>
          <w:rFonts w:cstheme="minorHAnsi"/>
          <w:sz w:val="24"/>
        </w:rPr>
        <w:t>(...)</w:t>
      </w:r>
    </w:p>
    <w:p w14:paraId="0862D606" w14:textId="65DD1D7A" w:rsidR="00E87C9A" w:rsidRPr="007F04BC" w:rsidRDefault="00540D5A" w:rsidP="007F04BC">
      <w:pPr>
        <w:pStyle w:val="JuQuot"/>
        <w:spacing w:line="276" w:lineRule="auto"/>
        <w:rPr>
          <w:rFonts w:cstheme="minorHAnsi"/>
          <w:sz w:val="24"/>
        </w:rPr>
      </w:pPr>
      <w:r w:rsidRPr="007F04BC">
        <w:rPr>
          <w:rFonts w:cstheme="minorHAnsi"/>
          <w:sz w:val="24"/>
        </w:rPr>
        <w:t xml:space="preserve">75. </w:t>
      </w:r>
      <w:r w:rsidR="00E87C9A" w:rsidRPr="007F04BC">
        <w:rPr>
          <w:rFonts w:cstheme="minorHAnsi"/>
          <w:sz w:val="24"/>
        </w:rPr>
        <w:t xml:space="preserve">Sonuç olarak Komisyon, </w:t>
      </w:r>
      <w:r w:rsidR="00A56DD6" w:rsidRPr="007F04BC">
        <w:rPr>
          <w:rFonts w:cstheme="minorHAnsi"/>
          <w:sz w:val="24"/>
        </w:rPr>
        <w:t>ortaya çıkan Avrupa fikir birliği ve ul</w:t>
      </w:r>
      <w:r w:rsidR="0023626F" w:rsidRPr="007F04BC">
        <w:rPr>
          <w:rFonts w:cstheme="minorHAnsi"/>
          <w:sz w:val="24"/>
        </w:rPr>
        <w:t>u</w:t>
      </w:r>
      <w:r w:rsidR="00A56DD6" w:rsidRPr="007F04BC">
        <w:rPr>
          <w:rFonts w:cstheme="minorHAnsi"/>
          <w:sz w:val="24"/>
        </w:rPr>
        <w:t>slararası standartlara</w:t>
      </w:r>
      <w:r w:rsidR="002C6ED0" w:rsidRPr="007F04BC">
        <w:rPr>
          <w:rFonts w:cstheme="minorHAnsi"/>
          <w:sz w:val="24"/>
        </w:rPr>
        <w:t xml:space="preserve"> göre Devlet Başkanına hakareti suç olmaktan çıkarmak ya da bu suçu Devlet başkanlarına yönelik sözlü saldırıların en ağır biçimleriyle ve hapis cezası içermeyen yaptırımlarla sınırlanm</w:t>
      </w:r>
      <w:r w:rsidR="00611CB8" w:rsidRPr="007F04BC">
        <w:rPr>
          <w:rFonts w:cstheme="minorHAnsi"/>
          <w:sz w:val="24"/>
        </w:rPr>
        <w:t xml:space="preserve">ası gerektiğini tekrar etmektedir. </w:t>
      </w:r>
      <w:r w:rsidR="00AE77B7" w:rsidRPr="007F04BC">
        <w:rPr>
          <w:rFonts w:cstheme="minorHAnsi"/>
          <w:sz w:val="24"/>
        </w:rPr>
        <w:t>Komisyon, Türkiye’deki uygulamanın, aksine,</w:t>
      </w:r>
      <w:r w:rsidR="00732CB1" w:rsidRPr="007F04BC">
        <w:rPr>
          <w:rFonts w:cstheme="minorHAnsi"/>
          <w:sz w:val="24"/>
        </w:rPr>
        <w:t xml:space="preserve"> bu hükmün uygulamasının</w:t>
      </w:r>
      <w:r w:rsidR="00AE77B7" w:rsidRPr="007F04BC">
        <w:rPr>
          <w:rFonts w:cstheme="minorHAnsi"/>
          <w:sz w:val="24"/>
        </w:rPr>
        <w:t xml:space="preserve"> AİHS’in 10. </w:t>
      </w:r>
      <w:r w:rsidR="00315423" w:rsidRPr="007F04BC">
        <w:rPr>
          <w:rFonts w:cstheme="minorHAnsi"/>
          <w:sz w:val="24"/>
        </w:rPr>
        <w:t>m</w:t>
      </w:r>
      <w:r w:rsidR="00AE77B7" w:rsidRPr="007F04BC">
        <w:rPr>
          <w:rFonts w:cstheme="minorHAnsi"/>
          <w:sz w:val="24"/>
        </w:rPr>
        <w:t xml:space="preserve">addesi kapsamında korunan ifadeler </w:t>
      </w:r>
      <w:r w:rsidR="00732CB1" w:rsidRPr="007F04BC">
        <w:rPr>
          <w:rFonts w:cstheme="minorHAnsi"/>
          <w:sz w:val="24"/>
        </w:rPr>
        <w:t xml:space="preserve">dahil olmak </w:t>
      </w:r>
      <w:r w:rsidR="001922F4" w:rsidRPr="007F04BC">
        <w:rPr>
          <w:rFonts w:cstheme="minorHAnsi"/>
          <w:sz w:val="24"/>
        </w:rPr>
        <w:t xml:space="preserve">üzere arttığını kaydetmiştir. </w:t>
      </w:r>
      <w:r w:rsidR="00651EB4" w:rsidRPr="007F04BC">
        <w:rPr>
          <w:rFonts w:cstheme="minorHAnsi"/>
          <w:sz w:val="24"/>
        </w:rPr>
        <w:lastRenderedPageBreak/>
        <w:t>Uygulanan</w:t>
      </w:r>
      <w:r w:rsidR="00184E36" w:rsidRPr="007F04BC">
        <w:rPr>
          <w:rFonts w:cstheme="minorHAnsi"/>
          <w:sz w:val="24"/>
        </w:rPr>
        <w:t xml:space="preserve"> yaptırımlar</w:t>
      </w:r>
      <w:r w:rsidR="00651EB4" w:rsidRPr="007F04BC">
        <w:rPr>
          <w:rFonts w:cstheme="minorHAnsi"/>
          <w:sz w:val="24"/>
        </w:rPr>
        <w:t>, özellikle hapis cezası</w:t>
      </w:r>
      <w:r w:rsidR="00184E36" w:rsidRPr="007F04BC">
        <w:rPr>
          <w:rFonts w:cstheme="minorHAnsi"/>
          <w:sz w:val="24"/>
        </w:rPr>
        <w:t xml:space="preserve"> </w:t>
      </w:r>
      <w:r w:rsidR="00D457ED" w:rsidRPr="007F04BC">
        <w:rPr>
          <w:rFonts w:cstheme="minorHAnsi"/>
          <w:sz w:val="24"/>
        </w:rPr>
        <w:t xml:space="preserve">açıkça </w:t>
      </w:r>
      <w:r w:rsidR="00651EB4" w:rsidRPr="007F04BC">
        <w:rPr>
          <w:rFonts w:cstheme="minorHAnsi"/>
          <w:sz w:val="24"/>
        </w:rPr>
        <w:t>aşırı</w:t>
      </w:r>
      <w:r w:rsidR="006F7F5D" w:rsidRPr="007F04BC">
        <w:rPr>
          <w:rFonts w:cstheme="minorHAnsi"/>
          <w:sz w:val="24"/>
        </w:rPr>
        <w:t xml:space="preserve"> </w:t>
      </w:r>
      <w:r w:rsidR="00E20AC4" w:rsidRPr="007F04BC">
        <w:rPr>
          <w:rFonts w:cstheme="minorHAnsi"/>
          <w:sz w:val="24"/>
        </w:rPr>
        <w:t>niteliktedir</w:t>
      </w:r>
      <w:r w:rsidR="00651EB4" w:rsidRPr="007F04BC">
        <w:rPr>
          <w:rFonts w:cstheme="minorHAnsi"/>
          <w:sz w:val="24"/>
        </w:rPr>
        <w:t xml:space="preserve">. </w:t>
      </w:r>
      <w:r w:rsidR="009C4982" w:rsidRPr="007F04BC">
        <w:rPr>
          <w:rFonts w:cstheme="minorHAnsi"/>
          <w:sz w:val="24"/>
        </w:rPr>
        <w:t>Bu hükmün aşırı kullanımını sınırlamak için Yargıtay ve Cumhuriyet Savcısı tarafından bazı girişimlerde bulunulsa da</w:t>
      </w:r>
      <w:r w:rsidR="00D25CD7" w:rsidRPr="007F04BC">
        <w:rPr>
          <w:rFonts w:cstheme="minorHAnsi"/>
          <w:sz w:val="24"/>
        </w:rPr>
        <w:t xml:space="preserve"> bu girişimler yetersiz kalmaktadır. </w:t>
      </w:r>
      <w:r w:rsidR="00433BBF" w:rsidRPr="007F04BC">
        <w:rPr>
          <w:rFonts w:cstheme="minorHAnsi"/>
          <w:sz w:val="24"/>
        </w:rPr>
        <w:t xml:space="preserve">Mevcut şartlarda </w:t>
      </w:r>
      <w:r w:rsidR="00967FDE" w:rsidRPr="007F04BC">
        <w:rPr>
          <w:rFonts w:cstheme="minorHAnsi"/>
          <w:sz w:val="24"/>
        </w:rPr>
        <w:t>Komisyon, AİHS’in 10. maddesinin daha fazla ihlal edilmesini önlemenin tek yolunun bu maddenin tamamen yürürlükten kaldırılması olduğunu düşünmektedir.</w:t>
      </w:r>
      <w:r w:rsidR="00760D5B" w:rsidRPr="007F04BC">
        <w:rPr>
          <w:rFonts w:cstheme="minorHAnsi"/>
          <w:sz w:val="24"/>
        </w:rPr>
        <w:t xml:space="preserve"> </w:t>
      </w:r>
      <w:r w:rsidR="00F16CFB" w:rsidRPr="007F04BC">
        <w:rPr>
          <w:rFonts w:cstheme="minorHAnsi"/>
          <w:sz w:val="24"/>
        </w:rPr>
        <w:t xml:space="preserve">Bu, </w:t>
      </w:r>
      <w:r w:rsidR="007A3AD2" w:rsidRPr="007F04BC">
        <w:rPr>
          <w:rFonts w:cstheme="minorHAnsi"/>
          <w:sz w:val="24"/>
        </w:rPr>
        <w:t>Devlet Başkanını</w:t>
      </w:r>
      <w:r w:rsidR="005673CA" w:rsidRPr="007F04BC">
        <w:rPr>
          <w:rFonts w:cstheme="minorHAnsi"/>
          <w:sz w:val="24"/>
        </w:rPr>
        <w:t>n</w:t>
      </w:r>
      <w:r w:rsidR="007A3AD2" w:rsidRPr="007F04BC">
        <w:rPr>
          <w:rFonts w:cstheme="minorHAnsi"/>
          <w:sz w:val="24"/>
        </w:rPr>
        <w:t xml:space="preserve"> hakaretin her türlü aşırı biçimine karşı</w:t>
      </w:r>
      <w:r w:rsidR="003D545F" w:rsidRPr="007F04BC">
        <w:rPr>
          <w:rFonts w:cstheme="minorHAnsi"/>
          <w:sz w:val="24"/>
        </w:rPr>
        <w:t xml:space="preserve">, </w:t>
      </w:r>
      <w:r w:rsidR="00F009CF" w:rsidRPr="007F04BC">
        <w:rPr>
          <w:rFonts w:cstheme="minorHAnsi"/>
          <w:sz w:val="24"/>
        </w:rPr>
        <w:t>kamuya mal olmuş veya siyasi meseleler</w:t>
      </w:r>
      <w:r w:rsidR="00CA7B03" w:rsidRPr="007F04BC">
        <w:rPr>
          <w:rFonts w:cstheme="minorHAnsi"/>
          <w:sz w:val="24"/>
        </w:rPr>
        <w:t>i özel olara</w:t>
      </w:r>
      <w:r w:rsidR="000B0046" w:rsidRPr="007F04BC">
        <w:rPr>
          <w:rFonts w:cstheme="minorHAnsi"/>
          <w:sz w:val="24"/>
        </w:rPr>
        <w:t>k belirlenmiş ifade özgürlüğü ilkelerini dikkate alarak diğer</w:t>
      </w:r>
      <w:r w:rsidR="00E816BB" w:rsidRPr="007F04BC">
        <w:rPr>
          <w:rFonts w:cstheme="minorHAnsi"/>
          <w:sz w:val="24"/>
        </w:rPr>
        <w:t xml:space="preserve"> yurttaşları koruyan hukuk ve ceza yargılamaları </w:t>
      </w:r>
      <w:r w:rsidR="005673CA" w:rsidRPr="007F04BC">
        <w:rPr>
          <w:rFonts w:cstheme="minorHAnsi"/>
          <w:sz w:val="24"/>
        </w:rPr>
        <w:t>yoluyla</w:t>
      </w:r>
      <w:r w:rsidR="007A3AD2" w:rsidRPr="007F04BC">
        <w:rPr>
          <w:rFonts w:cstheme="minorHAnsi"/>
          <w:sz w:val="24"/>
        </w:rPr>
        <w:t xml:space="preserve"> koru</w:t>
      </w:r>
      <w:r w:rsidR="00991147" w:rsidRPr="007F04BC">
        <w:rPr>
          <w:rFonts w:cstheme="minorHAnsi"/>
          <w:sz w:val="24"/>
        </w:rPr>
        <w:t xml:space="preserve">nmasına </w:t>
      </w:r>
      <w:r w:rsidR="008C67D8" w:rsidRPr="007F04BC">
        <w:rPr>
          <w:rFonts w:cstheme="minorHAnsi"/>
          <w:sz w:val="24"/>
        </w:rPr>
        <w:t>imkân</w:t>
      </w:r>
      <w:r w:rsidR="00991147" w:rsidRPr="007F04BC">
        <w:rPr>
          <w:rFonts w:cstheme="minorHAnsi"/>
          <w:sz w:val="24"/>
        </w:rPr>
        <w:t xml:space="preserve"> sağlayacaktır.</w:t>
      </w:r>
      <w:r w:rsidR="00EE5F4D" w:rsidRPr="007F04BC">
        <w:rPr>
          <w:rFonts w:cstheme="minorHAnsi"/>
          <w:sz w:val="24"/>
        </w:rPr>
        <w:t xml:space="preserve"> </w:t>
      </w:r>
      <w:r w:rsidR="00C1711F" w:rsidRPr="007F04BC">
        <w:rPr>
          <w:rFonts w:cstheme="minorHAnsi"/>
          <w:sz w:val="24"/>
        </w:rPr>
        <w:t xml:space="preserve">Orantılılık </w:t>
      </w:r>
      <w:r w:rsidR="00155E53" w:rsidRPr="007F04BC">
        <w:rPr>
          <w:rFonts w:cstheme="minorHAnsi"/>
          <w:sz w:val="24"/>
        </w:rPr>
        <w:t xml:space="preserve">ilkesi </w:t>
      </w:r>
      <w:r w:rsidR="00C1711F" w:rsidRPr="007F04BC">
        <w:rPr>
          <w:rFonts w:cstheme="minorHAnsi"/>
          <w:sz w:val="24"/>
        </w:rPr>
        <w:t xml:space="preserve">ve </w:t>
      </w:r>
      <w:r w:rsidR="00155E53" w:rsidRPr="007F04BC">
        <w:rPr>
          <w:rFonts w:cstheme="minorHAnsi"/>
          <w:sz w:val="24"/>
        </w:rPr>
        <w:t>yaptırımları hapis cezası içermeyecek şekilde sınırlandırma gerekliliği</w:t>
      </w:r>
      <w:r w:rsidR="00AD3716" w:rsidRPr="007F04BC">
        <w:rPr>
          <w:rFonts w:cstheme="minorHAnsi"/>
          <w:sz w:val="24"/>
        </w:rPr>
        <w:t xml:space="preserve"> bu yargılamalarda da uygulanacaktır. »</w:t>
      </w:r>
    </w:p>
    <w:p w14:paraId="541E441E" w14:textId="31B23987" w:rsidR="00540D5A" w:rsidRPr="007F04BC" w:rsidRDefault="00F95636" w:rsidP="007F04BC">
      <w:pPr>
        <w:pStyle w:val="JuParaLast"/>
        <w:spacing w:line="276" w:lineRule="auto"/>
        <w:rPr>
          <w:rFonts w:eastAsiaTheme="minorEastAsia" w:cstheme="minorHAnsi"/>
          <w:b/>
        </w:rPr>
      </w:pPr>
      <w:r w:rsidRPr="007F04BC">
        <w:rPr>
          <w:rFonts w:eastAsiaTheme="minorEastAsia" w:cstheme="minorHAnsi"/>
          <w:b/>
        </w:rPr>
        <w:t xml:space="preserve">D. </w:t>
      </w:r>
      <w:r w:rsidR="00CD2914" w:rsidRPr="007F04BC">
        <w:rPr>
          <w:rFonts w:eastAsiaTheme="minorEastAsia" w:cstheme="minorHAnsi"/>
          <w:b/>
        </w:rPr>
        <w:t>İnsan Haklar</w:t>
      </w:r>
      <w:r w:rsidR="00DB7641" w:rsidRPr="007F04BC">
        <w:rPr>
          <w:rFonts w:eastAsiaTheme="minorEastAsia" w:cstheme="minorHAnsi"/>
          <w:b/>
        </w:rPr>
        <w:t>ı Komiseri</w:t>
      </w:r>
      <w:r w:rsidR="007A1B05" w:rsidRPr="007F04BC">
        <w:rPr>
          <w:rFonts w:eastAsiaTheme="minorEastAsia" w:cstheme="minorHAnsi"/>
          <w:b/>
        </w:rPr>
        <w:t>’</w:t>
      </w:r>
      <w:r w:rsidR="00DB7641" w:rsidRPr="007F04BC">
        <w:rPr>
          <w:rFonts w:eastAsiaTheme="minorEastAsia" w:cstheme="minorHAnsi"/>
          <w:b/>
        </w:rPr>
        <w:t>nin Türkiye’de ifade özgürlüğü ve medya özgürlüğüne il</w:t>
      </w:r>
      <w:r w:rsidR="007A1B05" w:rsidRPr="007F04BC">
        <w:rPr>
          <w:rFonts w:eastAsiaTheme="minorEastAsia" w:cstheme="minorHAnsi"/>
          <w:b/>
        </w:rPr>
        <w:t xml:space="preserve">işkin Memorandumu </w:t>
      </w:r>
    </w:p>
    <w:p w14:paraId="28280B8A" w14:textId="5D1DA874" w:rsidR="00540D5A" w:rsidRPr="007F04BC" w:rsidRDefault="00540D5A" w:rsidP="007F04BC">
      <w:pPr>
        <w:pStyle w:val="JuPara"/>
        <w:spacing w:line="276" w:lineRule="auto"/>
        <w:rPr>
          <w:rFonts w:eastAsiaTheme="minorEastAsia" w:cstheme="minorHAnsi"/>
        </w:rPr>
      </w:pPr>
      <w:r w:rsidRPr="007F04BC">
        <w:rPr>
          <w:rFonts w:eastAsiaTheme="minorEastAsia" w:cstheme="minorHAnsi"/>
        </w:rPr>
        <w:fldChar w:fldCharType="begin"/>
      </w:r>
      <w:r w:rsidRPr="007F04BC">
        <w:rPr>
          <w:rFonts w:eastAsiaTheme="minorEastAsia" w:cstheme="minorHAnsi"/>
        </w:rPr>
        <w:instrText xml:space="preserve"> SEQ level0 \*arabic </w:instrText>
      </w:r>
      <w:r w:rsidRPr="007F04BC">
        <w:rPr>
          <w:rFonts w:eastAsiaTheme="minorEastAsia" w:cstheme="minorHAnsi"/>
        </w:rPr>
        <w:fldChar w:fldCharType="separate"/>
      </w:r>
      <w:r w:rsidR="00D406AC" w:rsidRPr="007F04BC">
        <w:rPr>
          <w:rFonts w:eastAsiaTheme="minorEastAsia" w:cstheme="minorHAnsi"/>
          <w:noProof/>
        </w:rPr>
        <w:t>19</w:t>
      </w:r>
      <w:r w:rsidRPr="007F04BC">
        <w:rPr>
          <w:rFonts w:eastAsiaTheme="minorEastAsia" w:cstheme="minorHAnsi"/>
        </w:rPr>
        <w:fldChar w:fldCharType="end"/>
      </w:r>
      <w:r w:rsidRPr="007F04BC">
        <w:rPr>
          <w:rFonts w:eastAsiaTheme="minorEastAsia" w:cstheme="minorHAnsi"/>
        </w:rPr>
        <w:t>.  </w:t>
      </w:r>
      <w:r w:rsidR="00AD511F" w:rsidRPr="007F04BC">
        <w:rPr>
          <w:rFonts w:eastAsiaTheme="minorEastAsia" w:cstheme="minorHAnsi"/>
        </w:rPr>
        <w:t>Avrupa Konseyi İnsan Hakları Komiseri</w:t>
      </w:r>
      <w:r w:rsidR="00DC3283" w:rsidRPr="007F04BC">
        <w:rPr>
          <w:rFonts w:eastAsiaTheme="minorEastAsia" w:cstheme="minorHAnsi"/>
        </w:rPr>
        <w:t>’</w:t>
      </w:r>
      <w:r w:rsidR="00462CCA" w:rsidRPr="007F04BC">
        <w:rPr>
          <w:rFonts w:eastAsiaTheme="minorEastAsia" w:cstheme="minorHAnsi"/>
        </w:rPr>
        <w:t xml:space="preserve">nin </w:t>
      </w:r>
      <w:r w:rsidR="00BD0937" w:rsidRPr="007F04BC">
        <w:rPr>
          <w:rFonts w:eastAsiaTheme="minorEastAsia" w:cstheme="minorHAnsi"/>
        </w:rPr>
        <w:t>2016</w:t>
      </w:r>
      <w:r w:rsidR="00806EF1" w:rsidRPr="007F04BC">
        <w:rPr>
          <w:rFonts w:eastAsiaTheme="minorEastAsia" w:cstheme="minorHAnsi"/>
        </w:rPr>
        <w:t xml:space="preserve"> yılın</w:t>
      </w:r>
      <w:r w:rsidR="00BD0937" w:rsidRPr="007F04BC">
        <w:rPr>
          <w:rFonts w:eastAsiaTheme="minorEastAsia" w:cstheme="minorHAnsi"/>
        </w:rPr>
        <w:t xml:space="preserve">daki </w:t>
      </w:r>
      <w:r w:rsidR="00806EF1" w:rsidRPr="007F04BC">
        <w:rPr>
          <w:rFonts w:eastAsiaTheme="minorEastAsia" w:cstheme="minorHAnsi"/>
        </w:rPr>
        <w:t xml:space="preserve">Türkiye </w:t>
      </w:r>
      <w:r w:rsidR="00BD0937" w:rsidRPr="007F04BC">
        <w:rPr>
          <w:rFonts w:eastAsiaTheme="minorEastAsia" w:cstheme="minorHAnsi"/>
        </w:rPr>
        <w:t>ziyaret</w:t>
      </w:r>
      <w:r w:rsidR="00806EF1" w:rsidRPr="007F04BC">
        <w:rPr>
          <w:rFonts w:eastAsiaTheme="minorEastAsia" w:cstheme="minorHAnsi"/>
        </w:rPr>
        <w:t xml:space="preserve">i sonrası </w:t>
      </w:r>
      <w:r w:rsidR="00122669" w:rsidRPr="007F04BC">
        <w:rPr>
          <w:rFonts w:eastAsiaTheme="minorEastAsia" w:cstheme="minorHAnsi"/>
        </w:rPr>
        <w:t xml:space="preserve">17 Şubat </w:t>
      </w:r>
      <w:r w:rsidR="00BD0937" w:rsidRPr="007F04BC">
        <w:rPr>
          <w:rFonts w:eastAsiaTheme="minorEastAsia" w:cstheme="minorHAnsi"/>
        </w:rPr>
        <w:t>2017</w:t>
      </w:r>
      <w:r w:rsidR="00806EF1" w:rsidRPr="007F04BC">
        <w:rPr>
          <w:rFonts w:eastAsiaTheme="minorEastAsia" w:cstheme="minorHAnsi"/>
        </w:rPr>
        <w:t xml:space="preserve"> tarihin</w:t>
      </w:r>
      <w:r w:rsidR="00F95636" w:rsidRPr="007F04BC">
        <w:rPr>
          <w:rFonts w:eastAsiaTheme="minorEastAsia" w:cstheme="minorHAnsi"/>
        </w:rPr>
        <w:t>de yayım</w:t>
      </w:r>
      <w:r w:rsidR="00BD0937" w:rsidRPr="007F04BC">
        <w:rPr>
          <w:rFonts w:eastAsiaTheme="minorEastAsia" w:cstheme="minorHAnsi"/>
        </w:rPr>
        <w:t>lad</w:t>
      </w:r>
      <w:r w:rsidR="00806EF1" w:rsidRPr="007F04BC">
        <w:rPr>
          <w:rFonts w:eastAsiaTheme="minorEastAsia" w:cstheme="minorHAnsi"/>
        </w:rPr>
        <w:t xml:space="preserve">ığı Türkiye’de ifade özgürlüğü ve medya özgürlüğüne ilişkin Memorandum’un </w:t>
      </w:r>
      <w:r w:rsidR="00D32BAA" w:rsidRPr="007F04BC">
        <w:rPr>
          <w:rFonts w:eastAsiaTheme="minorEastAsia" w:cstheme="minorHAnsi"/>
        </w:rPr>
        <w:t>« hakarete » ilişkin ilgili kısımları şu şekildedir :</w:t>
      </w:r>
    </w:p>
    <w:p w14:paraId="234F8267" w14:textId="3235562F" w:rsidR="00540D5A" w:rsidRPr="007F04BC" w:rsidRDefault="00540D5A" w:rsidP="007F04BC">
      <w:pPr>
        <w:pStyle w:val="JuQuot"/>
        <w:spacing w:line="276" w:lineRule="auto"/>
        <w:rPr>
          <w:rFonts w:cstheme="minorHAnsi"/>
          <w:sz w:val="24"/>
        </w:rPr>
      </w:pPr>
      <w:r w:rsidRPr="007F04BC">
        <w:rPr>
          <w:rFonts w:cstheme="minorHAnsi"/>
          <w:sz w:val="24"/>
        </w:rPr>
        <w:t xml:space="preserve">« 54. </w:t>
      </w:r>
      <w:r w:rsidR="005A4513" w:rsidRPr="007F04BC">
        <w:rPr>
          <w:rFonts w:cstheme="minorHAnsi"/>
          <w:sz w:val="24"/>
        </w:rPr>
        <w:t>B</w:t>
      </w:r>
      <w:r w:rsidR="00C123A0" w:rsidRPr="007F04BC">
        <w:rPr>
          <w:rFonts w:cstheme="minorHAnsi"/>
          <w:sz w:val="24"/>
        </w:rPr>
        <w:t xml:space="preserve">ir yıldan dört yıla kadar hapis cezası öngören 299. maddeye ilişkin olarak </w:t>
      </w:r>
      <w:r w:rsidR="00992661" w:rsidRPr="007F04BC">
        <w:rPr>
          <w:rFonts w:cstheme="minorHAnsi"/>
          <w:sz w:val="24"/>
        </w:rPr>
        <w:t>Nisan ayındaki ziyareti sonrasında</w:t>
      </w:r>
      <w:r w:rsidR="007D209C" w:rsidRPr="007F04BC">
        <w:rPr>
          <w:rFonts w:cstheme="minorHAnsi"/>
          <w:sz w:val="24"/>
        </w:rPr>
        <w:t xml:space="preserve"> </w:t>
      </w:r>
      <w:r w:rsidR="001D43D7" w:rsidRPr="007F04BC">
        <w:rPr>
          <w:rFonts w:cstheme="minorHAnsi"/>
          <w:sz w:val="24"/>
        </w:rPr>
        <w:t xml:space="preserve">Komiser, </w:t>
      </w:r>
      <w:r w:rsidR="00997BA5" w:rsidRPr="007F04BC">
        <w:rPr>
          <w:rFonts w:cstheme="minorHAnsi"/>
          <w:sz w:val="24"/>
        </w:rPr>
        <w:t>« </w:t>
      </w:r>
      <w:r w:rsidR="004F71D3" w:rsidRPr="007F04BC">
        <w:rPr>
          <w:rFonts w:cstheme="minorHAnsi"/>
          <w:sz w:val="24"/>
        </w:rPr>
        <w:t>aralarında cumhurbaşkanına hakareti</w:t>
      </w:r>
      <w:r w:rsidR="006526CA" w:rsidRPr="007F04BC">
        <w:rPr>
          <w:rFonts w:cstheme="minorHAnsi"/>
          <w:sz w:val="24"/>
        </w:rPr>
        <w:t xml:space="preserve"> hala ayrı bir suç olarak </w:t>
      </w:r>
      <w:r w:rsidR="0047542A" w:rsidRPr="007F04BC">
        <w:rPr>
          <w:rFonts w:cstheme="minorHAnsi"/>
          <w:sz w:val="24"/>
        </w:rPr>
        <w:t>kabul eden</w:t>
      </w:r>
      <w:r w:rsidR="006526CA" w:rsidRPr="007F04BC">
        <w:rPr>
          <w:rFonts w:cstheme="minorHAnsi"/>
          <w:sz w:val="24"/>
        </w:rPr>
        <w:t xml:space="preserve"> </w:t>
      </w:r>
      <w:r w:rsidR="00D85105" w:rsidRPr="007F04BC">
        <w:rPr>
          <w:rFonts w:cstheme="minorHAnsi"/>
          <w:sz w:val="24"/>
        </w:rPr>
        <w:t xml:space="preserve">devletler de dahil olmak üzere </w:t>
      </w:r>
      <w:r w:rsidR="0047542A" w:rsidRPr="007F04BC">
        <w:rPr>
          <w:rFonts w:cstheme="minorHAnsi"/>
          <w:sz w:val="24"/>
        </w:rPr>
        <w:t xml:space="preserve">46 </w:t>
      </w:r>
      <w:r w:rsidR="00D85105" w:rsidRPr="007F04BC">
        <w:rPr>
          <w:rFonts w:cstheme="minorHAnsi"/>
          <w:sz w:val="24"/>
        </w:rPr>
        <w:t xml:space="preserve">Avrupa Konseyi üyesi </w:t>
      </w:r>
      <w:r w:rsidR="0047542A" w:rsidRPr="007F04BC">
        <w:rPr>
          <w:rFonts w:cstheme="minorHAnsi"/>
          <w:sz w:val="24"/>
        </w:rPr>
        <w:t>Devlet arasında</w:t>
      </w:r>
      <w:r w:rsidR="00997BA5" w:rsidRPr="007F04BC">
        <w:rPr>
          <w:rFonts w:cstheme="minorHAnsi"/>
          <w:sz w:val="24"/>
        </w:rPr>
        <w:t> »</w:t>
      </w:r>
      <w:r w:rsidR="00D85105" w:rsidRPr="007F04BC">
        <w:rPr>
          <w:rFonts w:cstheme="minorHAnsi"/>
          <w:sz w:val="24"/>
        </w:rPr>
        <w:t xml:space="preserve"> </w:t>
      </w:r>
      <w:r w:rsidR="00444C74" w:rsidRPr="007F04BC">
        <w:rPr>
          <w:rFonts w:cstheme="minorHAnsi"/>
          <w:sz w:val="24"/>
        </w:rPr>
        <w:t xml:space="preserve">benzer hükümlerin </w:t>
      </w:r>
      <w:r w:rsidR="005E6B82" w:rsidRPr="007F04BC">
        <w:rPr>
          <w:rFonts w:cstheme="minorHAnsi"/>
          <w:sz w:val="24"/>
        </w:rPr>
        <w:t xml:space="preserve">uygulanmasının örneğine rastlamadığını </w:t>
      </w:r>
      <w:r w:rsidR="00997BA5" w:rsidRPr="007F04BC">
        <w:rPr>
          <w:rFonts w:cstheme="minorHAnsi"/>
          <w:sz w:val="24"/>
        </w:rPr>
        <w:t>vurgulamıştır.</w:t>
      </w:r>
      <w:r w:rsidR="00C123A0" w:rsidRPr="007F04BC">
        <w:rPr>
          <w:rFonts w:cstheme="minorHAnsi"/>
          <w:sz w:val="24"/>
        </w:rPr>
        <w:t xml:space="preserve"> </w:t>
      </w:r>
      <w:r w:rsidR="00CC63B0" w:rsidRPr="007F04BC">
        <w:rPr>
          <w:rFonts w:cstheme="minorHAnsi"/>
          <w:sz w:val="24"/>
        </w:rPr>
        <w:t xml:space="preserve">Bu maddenin kullanımının </w:t>
      </w:r>
      <w:r w:rsidR="002575FC" w:rsidRPr="007F04BC">
        <w:rPr>
          <w:rFonts w:cstheme="minorHAnsi"/>
          <w:sz w:val="24"/>
        </w:rPr>
        <w:t>Cumhurbaşkanını</w:t>
      </w:r>
      <w:r w:rsidR="00EF348F" w:rsidRPr="007F04BC">
        <w:rPr>
          <w:rFonts w:cstheme="minorHAnsi"/>
          <w:sz w:val="24"/>
        </w:rPr>
        <w:t xml:space="preserve">n ve buna ek olarak onun desteklediği </w:t>
      </w:r>
      <w:r w:rsidR="0068730F" w:rsidRPr="007F04BC">
        <w:rPr>
          <w:rFonts w:cstheme="minorHAnsi"/>
          <w:sz w:val="24"/>
        </w:rPr>
        <w:t>tüm politikaların</w:t>
      </w:r>
      <w:r w:rsidR="008D67E2" w:rsidRPr="007F04BC">
        <w:rPr>
          <w:rFonts w:cstheme="minorHAnsi"/>
          <w:sz w:val="24"/>
        </w:rPr>
        <w:t xml:space="preserve"> eleştirisini </w:t>
      </w:r>
      <w:r w:rsidR="00EC0896" w:rsidRPr="007F04BC">
        <w:rPr>
          <w:rFonts w:cstheme="minorHAnsi"/>
          <w:sz w:val="24"/>
        </w:rPr>
        <w:t xml:space="preserve">bastırmaya yarayan bir </w:t>
      </w:r>
      <w:r w:rsidR="00CE0E9C" w:rsidRPr="007F04BC">
        <w:rPr>
          <w:rFonts w:cstheme="minorHAnsi"/>
          <w:sz w:val="24"/>
        </w:rPr>
        <w:t>araç haline gel</w:t>
      </w:r>
      <w:r w:rsidR="006413BC" w:rsidRPr="007F04BC">
        <w:rPr>
          <w:rFonts w:cstheme="minorHAnsi"/>
          <w:sz w:val="24"/>
        </w:rPr>
        <w:t>miş</w:t>
      </w:r>
      <w:r w:rsidR="00CE0E9C" w:rsidRPr="007F04BC">
        <w:rPr>
          <w:rFonts w:cstheme="minorHAnsi"/>
          <w:sz w:val="24"/>
        </w:rPr>
        <w:t xml:space="preserve"> ve ayrım gözetmeksizin</w:t>
      </w:r>
      <w:r w:rsidR="006E66B6" w:rsidRPr="007F04BC">
        <w:rPr>
          <w:rFonts w:cstheme="minorHAnsi"/>
          <w:sz w:val="24"/>
        </w:rPr>
        <w:t xml:space="preserve">, </w:t>
      </w:r>
      <w:r w:rsidR="0042309D" w:rsidRPr="007F04BC">
        <w:rPr>
          <w:rFonts w:cstheme="minorHAnsi"/>
          <w:sz w:val="24"/>
        </w:rPr>
        <w:t xml:space="preserve">eşi olmayan bir seviyede özellikle gazeteciler, karikatüristler, akademisenler, ünlüler, </w:t>
      </w:r>
      <w:r w:rsidR="00BF1C28" w:rsidRPr="007F04BC">
        <w:rPr>
          <w:rFonts w:cstheme="minorHAnsi"/>
          <w:sz w:val="24"/>
        </w:rPr>
        <w:t xml:space="preserve">üniversite </w:t>
      </w:r>
      <w:r w:rsidR="0042309D" w:rsidRPr="007F04BC">
        <w:rPr>
          <w:rFonts w:cstheme="minorHAnsi"/>
          <w:sz w:val="24"/>
        </w:rPr>
        <w:t>öğrenciler</w:t>
      </w:r>
      <w:r w:rsidR="00BF1C28" w:rsidRPr="007F04BC">
        <w:rPr>
          <w:rFonts w:cstheme="minorHAnsi"/>
          <w:sz w:val="24"/>
        </w:rPr>
        <w:t xml:space="preserve">i ve </w:t>
      </w:r>
      <w:r w:rsidR="00AF0C05" w:rsidRPr="007F04BC">
        <w:rPr>
          <w:rFonts w:cstheme="minorHAnsi"/>
          <w:sz w:val="24"/>
        </w:rPr>
        <w:t>bir kısmı reşit olmayan öğrenciler dahil olmak üzere</w:t>
      </w:r>
      <w:r w:rsidR="006413BC" w:rsidRPr="007F04BC">
        <w:rPr>
          <w:rFonts w:cstheme="minorHAnsi"/>
          <w:sz w:val="24"/>
        </w:rPr>
        <w:t xml:space="preserve"> her türlü kişiye yönelmiş görülmektedir.</w:t>
      </w:r>
      <w:r w:rsidR="00AF0C05" w:rsidRPr="007F04BC">
        <w:rPr>
          <w:rFonts w:cstheme="minorHAnsi"/>
          <w:sz w:val="24"/>
        </w:rPr>
        <w:t xml:space="preserve"> </w:t>
      </w:r>
      <w:r w:rsidR="00C76AB9" w:rsidRPr="007F04BC">
        <w:rPr>
          <w:rFonts w:cstheme="minorHAnsi"/>
          <w:sz w:val="24"/>
        </w:rPr>
        <w:t>Birçok davada s</w:t>
      </w:r>
      <w:r w:rsidR="003D763A" w:rsidRPr="007F04BC">
        <w:rPr>
          <w:rFonts w:cstheme="minorHAnsi"/>
          <w:sz w:val="24"/>
        </w:rPr>
        <w:t>uç</w:t>
      </w:r>
      <w:r w:rsidR="00C76AB9" w:rsidRPr="007F04BC">
        <w:rPr>
          <w:rFonts w:cstheme="minorHAnsi"/>
          <w:sz w:val="24"/>
        </w:rPr>
        <w:t xml:space="preserve"> isnat edilen eylemler</w:t>
      </w:r>
      <w:r w:rsidR="002759F4" w:rsidRPr="007F04BC">
        <w:rPr>
          <w:rFonts w:cstheme="minorHAnsi"/>
          <w:sz w:val="24"/>
        </w:rPr>
        <w:t xml:space="preserve"> «re</w:t>
      </w:r>
      <w:r w:rsidR="00585DF7" w:rsidRPr="007F04BC">
        <w:rPr>
          <w:rFonts w:cstheme="minorHAnsi"/>
          <w:sz w:val="24"/>
        </w:rPr>
        <w:t xml:space="preserve">post » veya </w:t>
      </w:r>
      <w:r w:rsidR="00400BB2" w:rsidRPr="007F04BC">
        <w:rPr>
          <w:rFonts w:cstheme="minorHAnsi"/>
          <w:sz w:val="24"/>
        </w:rPr>
        <w:t>« retweet »</w:t>
      </w:r>
      <w:r w:rsidR="00585DF7" w:rsidRPr="007F04BC">
        <w:rPr>
          <w:rFonts w:cstheme="minorHAnsi"/>
          <w:sz w:val="24"/>
        </w:rPr>
        <w:t xml:space="preserve"> d</w:t>
      </w:r>
      <w:r w:rsidR="00BD4A0D" w:rsidRPr="007F04BC">
        <w:rPr>
          <w:rFonts w:cstheme="minorHAnsi"/>
          <w:sz w:val="24"/>
        </w:rPr>
        <w:t xml:space="preserve">e dahil olmak üzere sosyal medya vasıtasıyla yapılan paylaşımları içermektedir. </w:t>
      </w:r>
      <w:r w:rsidR="00585DF7" w:rsidRPr="007F04BC">
        <w:rPr>
          <w:rFonts w:cstheme="minorHAnsi"/>
          <w:sz w:val="24"/>
        </w:rPr>
        <w:t xml:space="preserve"> </w:t>
      </w:r>
      <w:r w:rsidR="00FE5691" w:rsidRPr="007F04BC">
        <w:rPr>
          <w:rFonts w:cstheme="minorHAnsi"/>
          <w:sz w:val="24"/>
        </w:rPr>
        <w:t xml:space="preserve">Haziran 2016’da bu suç sebebiyle </w:t>
      </w:r>
      <w:r w:rsidRPr="007F04BC">
        <w:rPr>
          <w:rFonts w:cstheme="minorHAnsi"/>
          <w:sz w:val="24"/>
        </w:rPr>
        <w:t xml:space="preserve">18 </w:t>
      </w:r>
      <w:r w:rsidR="00FE5691" w:rsidRPr="007F04BC">
        <w:rPr>
          <w:rFonts w:cstheme="minorHAnsi"/>
          <w:sz w:val="24"/>
        </w:rPr>
        <w:t>kişi hapis</w:t>
      </w:r>
      <w:r w:rsidR="005D2C1C" w:rsidRPr="007F04BC">
        <w:rPr>
          <w:rFonts w:cstheme="minorHAnsi"/>
          <w:sz w:val="24"/>
        </w:rPr>
        <w:t xml:space="preserve"> cezası çekmektedir.</w:t>
      </w:r>
    </w:p>
    <w:p w14:paraId="3C4A7805" w14:textId="33B090F9" w:rsidR="00540D5A" w:rsidRPr="007F04BC" w:rsidRDefault="00540D5A" w:rsidP="007F04BC">
      <w:pPr>
        <w:pStyle w:val="JuQuot"/>
        <w:spacing w:line="276" w:lineRule="auto"/>
        <w:rPr>
          <w:rFonts w:cstheme="minorHAnsi"/>
          <w:sz w:val="24"/>
        </w:rPr>
      </w:pPr>
      <w:r w:rsidRPr="007F04BC">
        <w:rPr>
          <w:rFonts w:cstheme="minorHAnsi"/>
          <w:sz w:val="24"/>
        </w:rPr>
        <w:t xml:space="preserve">55. </w:t>
      </w:r>
      <w:r w:rsidR="00C4327F" w:rsidRPr="007F04BC">
        <w:rPr>
          <w:rFonts w:cstheme="minorHAnsi"/>
          <w:sz w:val="24"/>
        </w:rPr>
        <w:t xml:space="preserve">Komiser </w:t>
      </w:r>
      <w:r w:rsidR="006D05ED" w:rsidRPr="007F04BC">
        <w:rPr>
          <w:rFonts w:cstheme="minorHAnsi"/>
          <w:sz w:val="24"/>
        </w:rPr>
        <w:t xml:space="preserve">bu hükmün uygulanmasının </w:t>
      </w:r>
      <w:r w:rsidR="00DA78B4" w:rsidRPr="007F04BC">
        <w:rPr>
          <w:rFonts w:cstheme="minorHAnsi"/>
          <w:sz w:val="24"/>
        </w:rPr>
        <w:t xml:space="preserve">Avrupa İnsan Hakları Sözleşmesi ile </w:t>
      </w:r>
      <w:r w:rsidR="00AE6A2A" w:rsidRPr="007F04BC">
        <w:rPr>
          <w:rFonts w:cstheme="minorHAnsi"/>
          <w:sz w:val="24"/>
        </w:rPr>
        <w:t xml:space="preserve">derinden uyumsuz olduğu ve yargısal </w:t>
      </w:r>
      <w:r w:rsidR="00647324" w:rsidRPr="007F04BC">
        <w:rPr>
          <w:rFonts w:cstheme="minorHAnsi"/>
          <w:sz w:val="24"/>
        </w:rPr>
        <w:t>zorlama olarak görüldüğü ; Avrupa İnsan Hakları Mahkemesi</w:t>
      </w:r>
      <w:r w:rsidR="009D3199" w:rsidRPr="007F04BC">
        <w:rPr>
          <w:rFonts w:cstheme="minorHAnsi"/>
          <w:sz w:val="24"/>
        </w:rPr>
        <w:t>’</w:t>
      </w:r>
      <w:r w:rsidR="00647324" w:rsidRPr="007F04BC">
        <w:rPr>
          <w:rFonts w:cstheme="minorHAnsi"/>
          <w:sz w:val="24"/>
        </w:rPr>
        <w:t>nin</w:t>
      </w:r>
      <w:r w:rsidR="009D3199" w:rsidRPr="007F04BC">
        <w:rPr>
          <w:rFonts w:cstheme="minorHAnsi"/>
          <w:sz w:val="24"/>
        </w:rPr>
        <w:t xml:space="preserve"> </w:t>
      </w:r>
      <w:r w:rsidR="004527BE" w:rsidRPr="007F04BC">
        <w:rPr>
          <w:rFonts w:cstheme="minorHAnsi"/>
          <w:sz w:val="24"/>
        </w:rPr>
        <w:t>Devlet Başkanların</w:t>
      </w:r>
      <w:r w:rsidR="008250D7" w:rsidRPr="007F04BC">
        <w:rPr>
          <w:rFonts w:cstheme="minorHAnsi"/>
          <w:sz w:val="24"/>
        </w:rPr>
        <w:t>a ayrıcalık ya da özel koruma sağlamak</w:t>
      </w:r>
      <w:r w:rsidR="00857C2D" w:rsidRPr="007F04BC">
        <w:rPr>
          <w:rFonts w:cstheme="minorHAnsi"/>
          <w:sz w:val="24"/>
        </w:rPr>
        <w:t xml:space="preserve"> </w:t>
      </w:r>
      <w:r w:rsidR="00640862" w:rsidRPr="007F04BC">
        <w:rPr>
          <w:rFonts w:cstheme="minorHAnsi"/>
          <w:sz w:val="24"/>
        </w:rPr>
        <w:t>ve</w:t>
      </w:r>
      <w:r w:rsidR="00857C2D" w:rsidRPr="007F04BC">
        <w:rPr>
          <w:rFonts w:cstheme="minorHAnsi"/>
          <w:sz w:val="24"/>
        </w:rPr>
        <w:t xml:space="preserve"> onları görevleri ve konumları </w:t>
      </w:r>
      <w:r w:rsidR="00857C2D" w:rsidRPr="007F04BC">
        <w:rPr>
          <w:rFonts w:cstheme="minorHAnsi"/>
          <w:sz w:val="24"/>
        </w:rPr>
        <w:lastRenderedPageBreak/>
        <w:t xml:space="preserve">sebebiyle </w:t>
      </w:r>
      <w:r w:rsidR="00C40307" w:rsidRPr="007F04BC">
        <w:rPr>
          <w:rFonts w:cstheme="minorHAnsi"/>
          <w:sz w:val="24"/>
        </w:rPr>
        <w:t>her türlü eleştiriden korumanın modern uygulamalar ve siyasi an</w:t>
      </w:r>
      <w:r w:rsidR="004D21CA" w:rsidRPr="007F04BC">
        <w:rPr>
          <w:rFonts w:cstheme="minorHAnsi"/>
          <w:sz w:val="24"/>
        </w:rPr>
        <w:t>layışlarla uymadığı kanaatindedir. Komiser, Venedik Komisyonu’nun</w:t>
      </w:r>
      <w:r w:rsidR="00805AD9" w:rsidRPr="007F04BC">
        <w:rPr>
          <w:rFonts w:cstheme="minorHAnsi"/>
          <w:sz w:val="24"/>
        </w:rPr>
        <w:t xml:space="preserve"> </w:t>
      </w:r>
      <w:r w:rsidR="007B046F" w:rsidRPr="007F04BC">
        <w:rPr>
          <w:rFonts w:cstheme="minorHAnsi"/>
          <w:sz w:val="24"/>
        </w:rPr>
        <w:t xml:space="preserve">açık </w:t>
      </w:r>
      <w:r w:rsidR="00805AD9" w:rsidRPr="007F04BC">
        <w:rPr>
          <w:rFonts w:cstheme="minorHAnsi"/>
          <w:sz w:val="24"/>
        </w:rPr>
        <w:t xml:space="preserve">10. </w:t>
      </w:r>
      <w:r w:rsidR="00687237" w:rsidRPr="007F04BC">
        <w:rPr>
          <w:rFonts w:cstheme="minorHAnsi"/>
          <w:sz w:val="24"/>
        </w:rPr>
        <w:t>m</w:t>
      </w:r>
      <w:r w:rsidR="00805AD9" w:rsidRPr="007F04BC">
        <w:rPr>
          <w:rFonts w:cstheme="minorHAnsi"/>
          <w:sz w:val="24"/>
        </w:rPr>
        <w:t>adde ihlallerinin önüne geçmenin tek yolunu</w:t>
      </w:r>
      <w:r w:rsidR="00687237" w:rsidRPr="007F04BC">
        <w:rPr>
          <w:rFonts w:cstheme="minorHAnsi"/>
          <w:sz w:val="24"/>
        </w:rPr>
        <w:t>n 299. maddenin yürürlükten kaldırılması olduğu görüşüne katılmaktadı</w:t>
      </w:r>
      <w:r w:rsidR="007B046F" w:rsidRPr="007F04BC">
        <w:rPr>
          <w:rFonts w:cstheme="minorHAnsi"/>
          <w:sz w:val="24"/>
        </w:rPr>
        <w:t>r.</w:t>
      </w:r>
      <w:r w:rsidR="00E47286" w:rsidRPr="007F04BC">
        <w:rPr>
          <w:rFonts w:cstheme="minorHAnsi"/>
          <w:sz w:val="24"/>
        </w:rPr>
        <w:t xml:space="preserve"> Komisere göre </w:t>
      </w:r>
      <w:r w:rsidR="00107B6B" w:rsidRPr="007F04BC">
        <w:rPr>
          <w:rFonts w:cstheme="minorHAnsi"/>
          <w:sz w:val="24"/>
        </w:rPr>
        <w:t xml:space="preserve">15 Temmuz darbe girişiminin ardından </w:t>
      </w:r>
      <w:r w:rsidR="00E47286" w:rsidRPr="007F04BC">
        <w:rPr>
          <w:rFonts w:cstheme="minorHAnsi"/>
          <w:sz w:val="24"/>
        </w:rPr>
        <w:t>Cumhurbaşkanı</w:t>
      </w:r>
      <w:r w:rsidR="00107B6B" w:rsidRPr="007F04BC">
        <w:rPr>
          <w:rFonts w:cstheme="minorHAnsi"/>
          <w:sz w:val="24"/>
        </w:rPr>
        <w:t>nın tek seferlik</w:t>
      </w:r>
      <w:r w:rsidR="00E74970" w:rsidRPr="007F04BC">
        <w:rPr>
          <w:rFonts w:cstheme="minorHAnsi"/>
          <w:sz w:val="24"/>
        </w:rPr>
        <w:t xml:space="preserve"> bir jest olarak bu maddeye ilişkin davaları geri çekeceğini açıklamasının</w:t>
      </w:r>
      <w:r w:rsidR="00783D19" w:rsidRPr="007F04BC">
        <w:rPr>
          <w:rFonts w:cstheme="minorHAnsi"/>
          <w:sz w:val="24"/>
        </w:rPr>
        <w:t xml:space="preserve">, bu hükmün Türkiye’de yaratmaya devam edeceği son derece caydırıcı etki açısından önem taşımamaktadır. Bununla birlikte </w:t>
      </w:r>
      <w:r w:rsidR="00706270" w:rsidRPr="007F04BC">
        <w:rPr>
          <w:rFonts w:cstheme="minorHAnsi"/>
          <w:sz w:val="24"/>
        </w:rPr>
        <w:t xml:space="preserve">Komiser, Türkiye Anayasa Mahkemesinin Aralık 2016’da </w:t>
      </w:r>
      <w:r w:rsidR="002B46A8" w:rsidRPr="007F04BC">
        <w:rPr>
          <w:rFonts w:cstheme="minorHAnsi"/>
          <w:sz w:val="24"/>
        </w:rPr>
        <w:t>Ceza Kanununun 299. Maddesini ifade özgürlüğün</w:t>
      </w:r>
      <w:r w:rsidR="00A10946" w:rsidRPr="007F04BC">
        <w:rPr>
          <w:rFonts w:cstheme="minorHAnsi"/>
          <w:sz w:val="24"/>
        </w:rPr>
        <w:t xml:space="preserve">ün özüne dokunmadığını ileri sürerek </w:t>
      </w:r>
      <w:r w:rsidR="002B46A8" w:rsidRPr="007F04BC">
        <w:rPr>
          <w:rFonts w:cstheme="minorHAnsi"/>
          <w:sz w:val="24"/>
        </w:rPr>
        <w:t>anayasaya uygun bulmasını</w:t>
      </w:r>
      <w:r w:rsidR="00A10946" w:rsidRPr="007F04BC">
        <w:rPr>
          <w:rFonts w:cstheme="minorHAnsi"/>
          <w:sz w:val="24"/>
        </w:rPr>
        <w:t xml:space="preserve"> </w:t>
      </w:r>
      <w:r w:rsidR="00C9021D" w:rsidRPr="007F04BC">
        <w:rPr>
          <w:rFonts w:cstheme="minorHAnsi"/>
          <w:sz w:val="24"/>
        </w:rPr>
        <w:t>üzüntüyle kaydetmiştir.</w:t>
      </w:r>
    </w:p>
    <w:p w14:paraId="0FEB200D" w14:textId="77777777" w:rsidR="00540D5A" w:rsidRPr="007F04BC" w:rsidRDefault="00540D5A" w:rsidP="007F04BC">
      <w:pPr>
        <w:pStyle w:val="JuQuot"/>
        <w:spacing w:line="276" w:lineRule="auto"/>
        <w:rPr>
          <w:rFonts w:cstheme="minorHAnsi"/>
          <w:sz w:val="24"/>
        </w:rPr>
      </w:pPr>
      <w:r w:rsidRPr="007F04BC">
        <w:rPr>
          <w:rFonts w:cstheme="minorHAnsi"/>
          <w:sz w:val="24"/>
        </w:rPr>
        <w:t>(...)</w:t>
      </w:r>
    </w:p>
    <w:p w14:paraId="4A394A18" w14:textId="2617485A" w:rsidR="00540D5A" w:rsidRPr="007F04BC" w:rsidRDefault="00540D5A" w:rsidP="007F04BC">
      <w:pPr>
        <w:pStyle w:val="JuQuot"/>
        <w:spacing w:line="276" w:lineRule="auto"/>
        <w:rPr>
          <w:rFonts w:cstheme="minorHAnsi"/>
          <w:sz w:val="24"/>
        </w:rPr>
      </w:pPr>
      <w:r w:rsidRPr="007F04BC">
        <w:rPr>
          <w:rFonts w:cstheme="minorHAnsi"/>
          <w:sz w:val="24"/>
        </w:rPr>
        <w:t xml:space="preserve">58. </w:t>
      </w:r>
      <w:r w:rsidR="005214C8" w:rsidRPr="007F04BC">
        <w:rPr>
          <w:rFonts w:cstheme="minorHAnsi"/>
          <w:sz w:val="24"/>
        </w:rPr>
        <w:t xml:space="preserve">299. </w:t>
      </w:r>
      <w:r w:rsidR="00D945D1" w:rsidRPr="007F04BC">
        <w:rPr>
          <w:rFonts w:cstheme="minorHAnsi"/>
          <w:sz w:val="24"/>
        </w:rPr>
        <w:t>m</w:t>
      </w:r>
      <w:r w:rsidR="0059798E" w:rsidRPr="007F04BC">
        <w:rPr>
          <w:rFonts w:cstheme="minorHAnsi"/>
          <w:sz w:val="24"/>
        </w:rPr>
        <w:t>addeye ve genel olarak hakaret suçuna ilişkin hükümlerin uy</w:t>
      </w:r>
      <w:r w:rsidR="00390D13" w:rsidRPr="007F04BC">
        <w:rPr>
          <w:rFonts w:cstheme="minorHAnsi"/>
          <w:sz w:val="24"/>
        </w:rPr>
        <w:t>gulanması</w:t>
      </w:r>
      <w:r w:rsidR="008A79F4" w:rsidRPr="007F04BC">
        <w:rPr>
          <w:rFonts w:cstheme="minorHAnsi"/>
          <w:sz w:val="24"/>
        </w:rPr>
        <w:t xml:space="preserve"> </w:t>
      </w:r>
      <w:r w:rsidR="0048425A" w:rsidRPr="007F04BC">
        <w:rPr>
          <w:rFonts w:cstheme="minorHAnsi"/>
          <w:sz w:val="24"/>
        </w:rPr>
        <w:t>Türk</w:t>
      </w:r>
      <w:r w:rsidR="00CB13D1" w:rsidRPr="007F04BC">
        <w:rPr>
          <w:rFonts w:cstheme="minorHAnsi"/>
          <w:sz w:val="24"/>
        </w:rPr>
        <w:t xml:space="preserve"> yetkililerin ve</w:t>
      </w:r>
      <w:r w:rsidR="00B653B7" w:rsidRPr="007F04BC">
        <w:rPr>
          <w:rFonts w:cstheme="minorHAnsi"/>
          <w:sz w:val="24"/>
        </w:rPr>
        <w:t xml:space="preserve"> yargı </w:t>
      </w:r>
      <w:r w:rsidR="00E43030" w:rsidRPr="007F04BC">
        <w:rPr>
          <w:rFonts w:cstheme="minorHAnsi"/>
          <w:sz w:val="24"/>
        </w:rPr>
        <w:t>erkinin</w:t>
      </w:r>
      <w:r w:rsidR="00B653B7" w:rsidRPr="007F04BC">
        <w:rPr>
          <w:rFonts w:cstheme="minorHAnsi"/>
          <w:sz w:val="24"/>
        </w:rPr>
        <w:t xml:space="preserve"> siyasi yetki sahiplerine</w:t>
      </w:r>
      <w:r w:rsidR="00E43030" w:rsidRPr="007F04BC">
        <w:rPr>
          <w:rFonts w:cstheme="minorHAnsi"/>
          <w:sz w:val="24"/>
        </w:rPr>
        <w:t xml:space="preserve"> yönelik eleştirilere karşı artan hoşgörüsüzlüğünün belirtisiyse</w:t>
      </w:r>
      <w:r w:rsidR="00CE649B" w:rsidRPr="007F04BC">
        <w:rPr>
          <w:rFonts w:cstheme="minorHAnsi"/>
          <w:sz w:val="24"/>
        </w:rPr>
        <w:t>, bu</w:t>
      </w:r>
      <w:r w:rsidR="00CD0577" w:rsidRPr="007F04BC">
        <w:rPr>
          <w:rFonts w:cstheme="minorHAnsi"/>
          <w:sz w:val="24"/>
        </w:rPr>
        <w:t xml:space="preserve">, </w:t>
      </w:r>
      <w:r w:rsidR="00D15724" w:rsidRPr="007F04BC">
        <w:rPr>
          <w:rFonts w:cstheme="minorHAnsi"/>
          <w:sz w:val="24"/>
        </w:rPr>
        <w:t xml:space="preserve">Türk toplumunun her kesimini etkileyen, </w:t>
      </w:r>
      <w:r w:rsidR="00E76465" w:rsidRPr="007F04BC">
        <w:rPr>
          <w:rFonts w:cstheme="minorHAnsi"/>
          <w:sz w:val="24"/>
        </w:rPr>
        <w:t>kamusal tartışmaları baskılayan, demokratik tartışma alanını daraltan ve</w:t>
      </w:r>
      <w:r w:rsidR="00CD0577" w:rsidRPr="007F04BC">
        <w:rPr>
          <w:rFonts w:cstheme="minorHAnsi"/>
          <w:sz w:val="24"/>
        </w:rPr>
        <w:t xml:space="preserve"> ülkenin kutuplaşmasını artıran</w:t>
      </w:r>
      <w:r w:rsidR="0099140D" w:rsidRPr="007F04BC">
        <w:rPr>
          <w:rFonts w:cstheme="minorHAnsi"/>
          <w:sz w:val="24"/>
        </w:rPr>
        <w:t xml:space="preserve"> yargısal tacizin sebep olduğu belirgin caydırıcı etkinin</w:t>
      </w:r>
      <w:r w:rsidR="00F1318E" w:rsidRPr="007F04BC">
        <w:rPr>
          <w:rFonts w:cstheme="minorHAnsi"/>
          <w:sz w:val="24"/>
        </w:rPr>
        <w:t xml:space="preserve"> </w:t>
      </w:r>
      <w:r w:rsidR="00CD0577" w:rsidRPr="007F04BC">
        <w:rPr>
          <w:rFonts w:cstheme="minorHAnsi"/>
          <w:sz w:val="24"/>
        </w:rPr>
        <w:t xml:space="preserve">yalnızca </w:t>
      </w:r>
      <w:r w:rsidR="00F1318E" w:rsidRPr="007F04BC">
        <w:rPr>
          <w:rFonts w:cstheme="minorHAnsi"/>
          <w:sz w:val="24"/>
        </w:rPr>
        <w:t>bir kısmına ilişkindir</w:t>
      </w:r>
      <w:r w:rsidR="00030B19" w:rsidRPr="007F04BC">
        <w:rPr>
          <w:rFonts w:cstheme="minorHAnsi"/>
          <w:sz w:val="24"/>
        </w:rPr>
        <w:t>.</w:t>
      </w:r>
    </w:p>
    <w:p w14:paraId="0654521F" w14:textId="1E84AB35" w:rsidR="00F35DD8" w:rsidRPr="007F04BC" w:rsidRDefault="00F35DD8" w:rsidP="007F04BC">
      <w:pPr>
        <w:spacing w:line="276" w:lineRule="auto"/>
        <w:jc w:val="both"/>
        <w:rPr>
          <w:rFonts w:cstheme="minorHAnsi"/>
        </w:rPr>
      </w:pPr>
      <w:r w:rsidRPr="007F04BC">
        <w:rPr>
          <w:rFonts w:cstheme="minorHAnsi"/>
        </w:rPr>
        <w:t>HUKUKİ DEĞERLENDİRME</w:t>
      </w:r>
    </w:p>
    <w:p w14:paraId="62A8C6BA" w14:textId="77777777" w:rsidR="003C631C" w:rsidRPr="007F04BC" w:rsidRDefault="003C631C" w:rsidP="007F04BC">
      <w:pPr>
        <w:spacing w:line="276" w:lineRule="auto"/>
        <w:jc w:val="both"/>
        <w:rPr>
          <w:rFonts w:cstheme="minorHAnsi"/>
        </w:rPr>
      </w:pPr>
    </w:p>
    <w:p w14:paraId="04EFD35C" w14:textId="011F1263" w:rsidR="002567DC" w:rsidRPr="007F04BC" w:rsidRDefault="00F35DD8" w:rsidP="007F04BC">
      <w:pPr>
        <w:pStyle w:val="ListeParagraf"/>
        <w:numPr>
          <w:ilvl w:val="0"/>
          <w:numId w:val="19"/>
        </w:numPr>
        <w:spacing w:after="160" w:line="276" w:lineRule="auto"/>
        <w:ind w:left="450" w:hanging="450"/>
        <w:jc w:val="both"/>
        <w:rPr>
          <w:rFonts w:cstheme="minorHAnsi"/>
        </w:rPr>
      </w:pPr>
      <w:r w:rsidRPr="007F04BC">
        <w:rPr>
          <w:rFonts w:cstheme="minorHAnsi"/>
        </w:rPr>
        <w:t>SÖZLEŞME</w:t>
      </w:r>
      <w:r w:rsidR="00EF14E9" w:rsidRPr="007F04BC">
        <w:rPr>
          <w:rFonts w:cstheme="minorHAnsi"/>
        </w:rPr>
        <w:t>’</w:t>
      </w:r>
      <w:r w:rsidRPr="007F04BC">
        <w:rPr>
          <w:rFonts w:cstheme="minorHAnsi"/>
        </w:rPr>
        <w:t>NİN 10. MADDESİNİN İHLAL EDİLDİĞİ İDDİASI</w:t>
      </w:r>
    </w:p>
    <w:p w14:paraId="6A6F9C64" w14:textId="77777777" w:rsidR="00F35DD8" w:rsidRPr="007F04BC" w:rsidRDefault="00F35DD8" w:rsidP="007F04BC">
      <w:pPr>
        <w:pStyle w:val="ListeParagraf"/>
        <w:spacing w:line="276" w:lineRule="auto"/>
        <w:ind w:left="450"/>
        <w:jc w:val="both"/>
        <w:rPr>
          <w:rFonts w:cstheme="minorHAnsi"/>
        </w:rPr>
      </w:pPr>
    </w:p>
    <w:p w14:paraId="56CF90B4" w14:textId="77777777" w:rsidR="00F35DD8" w:rsidRPr="007F04BC" w:rsidRDefault="00F35DD8" w:rsidP="007F04BC">
      <w:pPr>
        <w:pStyle w:val="ListeParagraf"/>
        <w:numPr>
          <w:ilvl w:val="0"/>
          <w:numId w:val="21"/>
        </w:numPr>
        <w:spacing w:after="160" w:line="276" w:lineRule="auto"/>
        <w:jc w:val="both"/>
        <w:rPr>
          <w:rFonts w:cstheme="minorHAnsi"/>
          <w:vanish/>
        </w:rPr>
      </w:pPr>
    </w:p>
    <w:p w14:paraId="73EF2433" w14:textId="77777777" w:rsidR="00F35DD8" w:rsidRPr="007F04BC" w:rsidRDefault="00F35DD8" w:rsidP="007F04BC">
      <w:pPr>
        <w:pStyle w:val="ListeParagraf"/>
        <w:numPr>
          <w:ilvl w:val="0"/>
          <w:numId w:val="21"/>
        </w:numPr>
        <w:spacing w:after="160" w:line="276" w:lineRule="auto"/>
        <w:jc w:val="both"/>
        <w:rPr>
          <w:rFonts w:cstheme="minorHAnsi"/>
          <w:vanish/>
        </w:rPr>
      </w:pPr>
    </w:p>
    <w:p w14:paraId="384CBE6D" w14:textId="77777777" w:rsidR="00F35DD8" w:rsidRPr="007F04BC" w:rsidRDefault="00F35DD8" w:rsidP="007F04BC">
      <w:pPr>
        <w:pStyle w:val="ListeParagraf"/>
        <w:numPr>
          <w:ilvl w:val="0"/>
          <w:numId w:val="21"/>
        </w:numPr>
        <w:spacing w:after="160" w:line="276" w:lineRule="auto"/>
        <w:jc w:val="both"/>
        <w:rPr>
          <w:rFonts w:cstheme="minorHAnsi"/>
          <w:vanish/>
        </w:rPr>
      </w:pPr>
    </w:p>
    <w:p w14:paraId="733225D9" w14:textId="77777777" w:rsidR="00F35DD8" w:rsidRPr="007F04BC" w:rsidRDefault="00F35DD8" w:rsidP="007F04BC">
      <w:pPr>
        <w:pStyle w:val="ListeParagraf"/>
        <w:numPr>
          <w:ilvl w:val="0"/>
          <w:numId w:val="21"/>
        </w:numPr>
        <w:spacing w:after="160" w:line="276" w:lineRule="auto"/>
        <w:jc w:val="both"/>
        <w:rPr>
          <w:rFonts w:cstheme="minorHAnsi"/>
          <w:vanish/>
        </w:rPr>
      </w:pPr>
    </w:p>
    <w:p w14:paraId="65E2F642" w14:textId="77777777" w:rsidR="00F35DD8" w:rsidRPr="007F04BC" w:rsidRDefault="00F35DD8" w:rsidP="007F04BC">
      <w:pPr>
        <w:pStyle w:val="ListeParagraf"/>
        <w:numPr>
          <w:ilvl w:val="0"/>
          <w:numId w:val="21"/>
        </w:numPr>
        <w:spacing w:after="160" w:line="276" w:lineRule="auto"/>
        <w:jc w:val="both"/>
        <w:rPr>
          <w:rFonts w:cstheme="minorHAnsi"/>
          <w:vanish/>
        </w:rPr>
      </w:pPr>
    </w:p>
    <w:p w14:paraId="4F0E28B4" w14:textId="77777777" w:rsidR="00F35DD8" w:rsidRPr="007F04BC" w:rsidRDefault="00F35DD8" w:rsidP="007F04BC">
      <w:pPr>
        <w:pStyle w:val="ListeParagraf"/>
        <w:numPr>
          <w:ilvl w:val="0"/>
          <w:numId w:val="21"/>
        </w:numPr>
        <w:spacing w:after="160" w:line="276" w:lineRule="auto"/>
        <w:jc w:val="both"/>
        <w:rPr>
          <w:rFonts w:cstheme="minorHAnsi"/>
          <w:vanish/>
        </w:rPr>
      </w:pPr>
    </w:p>
    <w:p w14:paraId="6D3C5C5A" w14:textId="77777777" w:rsidR="00F35DD8" w:rsidRPr="007F04BC" w:rsidRDefault="00F35DD8" w:rsidP="007F04BC">
      <w:pPr>
        <w:pStyle w:val="ListeParagraf"/>
        <w:numPr>
          <w:ilvl w:val="0"/>
          <w:numId w:val="21"/>
        </w:numPr>
        <w:spacing w:after="160" w:line="276" w:lineRule="auto"/>
        <w:jc w:val="both"/>
        <w:rPr>
          <w:rFonts w:cstheme="minorHAnsi"/>
          <w:vanish/>
        </w:rPr>
      </w:pPr>
    </w:p>
    <w:p w14:paraId="3FAFD62A" w14:textId="77777777" w:rsidR="00F35DD8" w:rsidRPr="007F04BC" w:rsidRDefault="00F35DD8" w:rsidP="007F04BC">
      <w:pPr>
        <w:pStyle w:val="ListeParagraf"/>
        <w:numPr>
          <w:ilvl w:val="0"/>
          <w:numId w:val="21"/>
        </w:numPr>
        <w:spacing w:after="160" w:line="276" w:lineRule="auto"/>
        <w:jc w:val="both"/>
        <w:rPr>
          <w:rFonts w:cstheme="minorHAnsi"/>
          <w:vanish/>
        </w:rPr>
      </w:pPr>
    </w:p>
    <w:p w14:paraId="57B7F1A2" w14:textId="77777777" w:rsidR="00F35DD8" w:rsidRPr="007F04BC" w:rsidRDefault="00F35DD8" w:rsidP="007F04BC">
      <w:pPr>
        <w:pStyle w:val="ListeParagraf"/>
        <w:numPr>
          <w:ilvl w:val="0"/>
          <w:numId w:val="21"/>
        </w:numPr>
        <w:spacing w:after="160" w:line="276" w:lineRule="auto"/>
        <w:jc w:val="both"/>
        <w:rPr>
          <w:rFonts w:cstheme="minorHAnsi"/>
          <w:vanish/>
        </w:rPr>
      </w:pPr>
    </w:p>
    <w:p w14:paraId="46BDAEAA" w14:textId="77777777" w:rsidR="00F35DD8" w:rsidRPr="007F04BC" w:rsidRDefault="00F35DD8" w:rsidP="007F04BC">
      <w:pPr>
        <w:pStyle w:val="ListeParagraf"/>
        <w:numPr>
          <w:ilvl w:val="0"/>
          <w:numId w:val="21"/>
        </w:numPr>
        <w:spacing w:after="160" w:line="276" w:lineRule="auto"/>
        <w:jc w:val="both"/>
        <w:rPr>
          <w:rFonts w:cstheme="minorHAnsi"/>
          <w:vanish/>
        </w:rPr>
      </w:pPr>
    </w:p>
    <w:p w14:paraId="75E28F4A" w14:textId="77777777" w:rsidR="00F35DD8" w:rsidRPr="007F04BC" w:rsidRDefault="00F35DD8" w:rsidP="007F04BC">
      <w:pPr>
        <w:pStyle w:val="ListeParagraf"/>
        <w:numPr>
          <w:ilvl w:val="0"/>
          <w:numId w:val="21"/>
        </w:numPr>
        <w:spacing w:after="160" w:line="276" w:lineRule="auto"/>
        <w:jc w:val="both"/>
        <w:rPr>
          <w:rFonts w:cstheme="minorHAnsi"/>
          <w:vanish/>
        </w:rPr>
      </w:pPr>
    </w:p>
    <w:p w14:paraId="0F9FFA6E" w14:textId="77777777" w:rsidR="00F35DD8" w:rsidRPr="007F04BC" w:rsidRDefault="00F35DD8" w:rsidP="007F04BC">
      <w:pPr>
        <w:pStyle w:val="ListeParagraf"/>
        <w:numPr>
          <w:ilvl w:val="0"/>
          <w:numId w:val="21"/>
        </w:numPr>
        <w:spacing w:after="160" w:line="276" w:lineRule="auto"/>
        <w:jc w:val="both"/>
        <w:rPr>
          <w:rFonts w:cstheme="minorHAnsi"/>
          <w:vanish/>
        </w:rPr>
      </w:pPr>
    </w:p>
    <w:p w14:paraId="0756FAD9" w14:textId="77777777" w:rsidR="00F35DD8" w:rsidRPr="007F04BC" w:rsidRDefault="00F35DD8" w:rsidP="007F04BC">
      <w:pPr>
        <w:pStyle w:val="ListeParagraf"/>
        <w:numPr>
          <w:ilvl w:val="0"/>
          <w:numId w:val="21"/>
        </w:numPr>
        <w:spacing w:after="160" w:line="276" w:lineRule="auto"/>
        <w:jc w:val="both"/>
        <w:rPr>
          <w:rFonts w:cstheme="minorHAnsi"/>
          <w:vanish/>
        </w:rPr>
      </w:pPr>
    </w:p>
    <w:p w14:paraId="2EE202BE" w14:textId="77777777" w:rsidR="00F35DD8" w:rsidRPr="007F04BC" w:rsidRDefault="00F35DD8" w:rsidP="007F04BC">
      <w:pPr>
        <w:pStyle w:val="ListeParagraf"/>
        <w:numPr>
          <w:ilvl w:val="0"/>
          <w:numId w:val="21"/>
        </w:numPr>
        <w:spacing w:after="160" w:line="276" w:lineRule="auto"/>
        <w:jc w:val="both"/>
        <w:rPr>
          <w:rFonts w:cstheme="minorHAnsi"/>
          <w:vanish/>
        </w:rPr>
      </w:pPr>
    </w:p>
    <w:p w14:paraId="2F8FF76F" w14:textId="77777777" w:rsidR="00F35DD8" w:rsidRPr="007F04BC" w:rsidRDefault="00F35DD8" w:rsidP="007F04BC">
      <w:pPr>
        <w:pStyle w:val="ListeParagraf"/>
        <w:numPr>
          <w:ilvl w:val="0"/>
          <w:numId w:val="21"/>
        </w:numPr>
        <w:spacing w:after="160" w:line="276" w:lineRule="auto"/>
        <w:jc w:val="both"/>
        <w:rPr>
          <w:rFonts w:cstheme="minorHAnsi"/>
          <w:vanish/>
        </w:rPr>
      </w:pPr>
    </w:p>
    <w:p w14:paraId="411430F2" w14:textId="77777777" w:rsidR="00F35DD8" w:rsidRPr="007F04BC" w:rsidRDefault="00F35DD8" w:rsidP="007F04BC">
      <w:pPr>
        <w:pStyle w:val="ListeParagraf"/>
        <w:numPr>
          <w:ilvl w:val="0"/>
          <w:numId w:val="21"/>
        </w:numPr>
        <w:spacing w:after="160" w:line="276" w:lineRule="auto"/>
        <w:jc w:val="both"/>
        <w:rPr>
          <w:rFonts w:cstheme="minorHAnsi"/>
          <w:vanish/>
        </w:rPr>
      </w:pPr>
    </w:p>
    <w:p w14:paraId="3EA682AA" w14:textId="77777777" w:rsidR="00F35DD8" w:rsidRPr="007F04BC" w:rsidRDefault="00F35DD8" w:rsidP="007F04BC">
      <w:pPr>
        <w:pStyle w:val="ListeParagraf"/>
        <w:numPr>
          <w:ilvl w:val="0"/>
          <w:numId w:val="21"/>
        </w:numPr>
        <w:spacing w:after="160" w:line="276" w:lineRule="auto"/>
        <w:jc w:val="both"/>
        <w:rPr>
          <w:rFonts w:cstheme="minorHAnsi"/>
          <w:vanish/>
        </w:rPr>
      </w:pPr>
    </w:p>
    <w:p w14:paraId="14EF89EE" w14:textId="77777777" w:rsidR="00F35DD8" w:rsidRPr="007F04BC" w:rsidRDefault="00F35DD8" w:rsidP="007F04BC">
      <w:pPr>
        <w:pStyle w:val="ListeParagraf"/>
        <w:numPr>
          <w:ilvl w:val="0"/>
          <w:numId w:val="21"/>
        </w:numPr>
        <w:spacing w:after="160" w:line="276" w:lineRule="auto"/>
        <w:jc w:val="both"/>
        <w:rPr>
          <w:rFonts w:cstheme="minorHAnsi"/>
          <w:vanish/>
        </w:rPr>
      </w:pPr>
    </w:p>
    <w:p w14:paraId="448B1E97" w14:textId="77777777" w:rsidR="00F35DD8" w:rsidRPr="007F04BC" w:rsidRDefault="00F35DD8" w:rsidP="007F04BC">
      <w:pPr>
        <w:pStyle w:val="ListeParagraf"/>
        <w:numPr>
          <w:ilvl w:val="0"/>
          <w:numId w:val="21"/>
        </w:numPr>
        <w:spacing w:after="160" w:line="276" w:lineRule="auto"/>
        <w:jc w:val="both"/>
        <w:rPr>
          <w:rFonts w:cstheme="minorHAnsi"/>
          <w:vanish/>
        </w:rPr>
      </w:pPr>
    </w:p>
    <w:p w14:paraId="28216A5D" w14:textId="5A55203D" w:rsidR="00F35DD8" w:rsidRPr="007F04BC" w:rsidRDefault="00F35DD8" w:rsidP="007F04BC">
      <w:pPr>
        <w:pStyle w:val="ListeParagraf"/>
        <w:numPr>
          <w:ilvl w:val="0"/>
          <w:numId w:val="21"/>
        </w:numPr>
        <w:spacing w:after="160" w:line="276" w:lineRule="auto"/>
        <w:ind w:left="90" w:firstLine="270"/>
        <w:jc w:val="both"/>
        <w:rPr>
          <w:rFonts w:cstheme="minorHAnsi"/>
        </w:rPr>
      </w:pPr>
      <w:r w:rsidRPr="007F04BC">
        <w:rPr>
          <w:rFonts w:cstheme="minorHAnsi"/>
        </w:rPr>
        <w:t xml:space="preserve">Başvurucu, kendisine göre </w:t>
      </w:r>
      <w:r w:rsidR="00EF14E9" w:rsidRPr="007F04BC">
        <w:rPr>
          <w:rFonts w:cstheme="minorHAnsi"/>
        </w:rPr>
        <w:t>siyasi</w:t>
      </w:r>
      <w:r w:rsidRPr="007F04BC">
        <w:rPr>
          <w:rFonts w:cstheme="minorHAnsi"/>
        </w:rPr>
        <w:t xml:space="preserve"> gündeme ilişkin eleştirel yorumlar olan Facebook hesabındaki paylaşımlar nedeniyle aleyhinde başlatılan Cumhurbaşkanına hakaret</w:t>
      </w:r>
      <w:r w:rsidRPr="007F04BC">
        <w:rPr>
          <w:rFonts w:cstheme="minorHAnsi"/>
          <w:b/>
        </w:rPr>
        <w:t xml:space="preserve"> </w:t>
      </w:r>
      <w:r w:rsidRPr="007F04BC">
        <w:rPr>
          <w:rFonts w:cstheme="minorHAnsi"/>
        </w:rPr>
        <w:t xml:space="preserve">suçlamasına ilişkin ceza yargılamasının ifade </w:t>
      </w:r>
      <w:r w:rsidR="00EF14E9" w:rsidRPr="007F04BC">
        <w:rPr>
          <w:rFonts w:cstheme="minorHAnsi"/>
        </w:rPr>
        <w:t>özgürlüğünü</w:t>
      </w:r>
      <w:r w:rsidRPr="007F04BC">
        <w:rPr>
          <w:rFonts w:cstheme="minorHAnsi"/>
        </w:rPr>
        <w:t xml:space="preserve"> ihlal ettiğini ileri sürmektedir. Başvurucu, devlet başkanı için özel bir koruma sağlayan ve sıradan hakaret suçlamasına </w:t>
      </w:r>
      <w:r w:rsidR="006D3129" w:rsidRPr="007F04BC">
        <w:rPr>
          <w:rFonts w:cstheme="minorHAnsi"/>
        </w:rPr>
        <w:t xml:space="preserve">göre </w:t>
      </w:r>
      <w:r w:rsidRPr="007F04BC">
        <w:rPr>
          <w:rFonts w:cstheme="minorHAnsi"/>
        </w:rPr>
        <w:t xml:space="preserve">nispeten daha fazla ceza öngören, Cumhurbaşkanına hakaret suçunun Mahkeme’nin içtihadına ve Sözleşme’nin ruhuna aykırı olduğunu savunmaktadır. Başvurucu, ceza yargılaması sonucunda verilen hükmün açıklanmasının geri bırakılması kararının beş yıllık denetim süresi boyunca siyasi konularda ifade </w:t>
      </w:r>
      <w:r w:rsidR="00E82134" w:rsidRPr="007F04BC">
        <w:rPr>
          <w:rFonts w:cstheme="minorHAnsi"/>
        </w:rPr>
        <w:t>özgürlüğünü</w:t>
      </w:r>
      <w:r w:rsidRPr="007F04BC">
        <w:rPr>
          <w:rFonts w:cstheme="minorHAnsi"/>
        </w:rPr>
        <w:t xml:space="preserve"> kullanması hususunda caydırıcı bir etki oluşturduğu ve iki ay iki gün tutuklu kalması ile on bir ay yirmi günlük hapis cezasına çarptırılmasının orantısız olduğu kanaatindedir. Başvurucu </w:t>
      </w:r>
      <w:r w:rsidRPr="007F04BC">
        <w:rPr>
          <w:rFonts w:cstheme="minorHAnsi"/>
        </w:rPr>
        <w:lastRenderedPageBreak/>
        <w:t xml:space="preserve">devam eden şekilde </w:t>
      </w:r>
      <w:r w:rsidR="00072792" w:rsidRPr="007F04BC">
        <w:rPr>
          <w:rFonts w:cstheme="minorHAnsi"/>
        </w:rPr>
        <w:t>düzenlenen</w:t>
      </w:r>
      <w:r w:rsidRPr="007F04BC">
        <w:rPr>
          <w:rFonts w:cstheme="minorHAnsi"/>
        </w:rPr>
        <w:t xml:space="preserve"> Sözleşme’nin 10. maddesini ileri sürmüştür :</w:t>
      </w:r>
    </w:p>
    <w:p w14:paraId="24FA2DA8" w14:textId="77777777" w:rsidR="00F35DD8" w:rsidRPr="007F04BC" w:rsidRDefault="00F35DD8" w:rsidP="007F04BC">
      <w:pPr>
        <w:pStyle w:val="ListeParagraf"/>
        <w:spacing w:line="276" w:lineRule="auto"/>
        <w:ind w:left="360"/>
        <w:jc w:val="both"/>
        <w:rPr>
          <w:rFonts w:cstheme="minorHAnsi"/>
        </w:rPr>
      </w:pPr>
    </w:p>
    <w:p w14:paraId="2CB63E87" w14:textId="77777777" w:rsidR="00F35DD8" w:rsidRPr="007F04BC" w:rsidRDefault="00F35DD8" w:rsidP="007F04BC">
      <w:pPr>
        <w:pStyle w:val="ListeParagraf"/>
        <w:tabs>
          <w:tab w:val="left" w:pos="900"/>
        </w:tabs>
        <w:spacing w:line="276" w:lineRule="auto"/>
        <w:jc w:val="both"/>
        <w:rPr>
          <w:rFonts w:cstheme="minorHAnsi"/>
        </w:rPr>
      </w:pPr>
      <w:r w:rsidRPr="007F04BC">
        <w:rPr>
          <w:rFonts w:cstheme="minorHAnsi"/>
        </w:rPr>
        <w:t>“1. Herkes ifade özgürlüğü hakkına sahiptir. Bu hak, kamu makamlarının müdahalesi olmaksızın ve ülke sınırları gözetilmeksizin, kanaat özgürlüğünü ve haber ve görüş alma ve de verme özgürlüğünü de kapsar. Bu madde, Devletlerin radyo, televizyon ve sinema işletmelerini bir izin rejimine tabi tutmalarına engel değildir.</w:t>
      </w:r>
    </w:p>
    <w:p w14:paraId="6689993B" w14:textId="77777777" w:rsidR="00F35DD8" w:rsidRPr="007F04BC" w:rsidRDefault="00F35DD8" w:rsidP="007F04BC">
      <w:pPr>
        <w:pStyle w:val="ListeParagraf"/>
        <w:tabs>
          <w:tab w:val="left" w:pos="900"/>
        </w:tabs>
        <w:spacing w:line="276" w:lineRule="auto"/>
        <w:jc w:val="both"/>
        <w:rPr>
          <w:rFonts w:cstheme="minorHAnsi"/>
        </w:rPr>
      </w:pPr>
      <w:r w:rsidRPr="007F04BC">
        <w:rPr>
          <w:rFonts w:cstheme="minorHAnsi"/>
        </w:rPr>
        <w:t>2. Görev ve sorumluluklar da yükleyen bu özgürlüklerin kullanılması, yasayla öngörülen ve demokratik bir toplumda ulusal güvenliğin, toprak bütünlüğünün veya kamu güvenliğinin korunması, kamu düzeninin sağlanması ve suç işlenmesinin önlenmesi, sağlığın veya ahlakın, başkalarının şöhret ve haklarının korunması, gizli bilgilerin yayılmasının önlenmesi veya yargı erkinin yetki ve tarafsızlığının güvence altına alınması için gerekli olan bazı formaliteler, koşullar, sınırlamalar veya yaptırımlara tabi tutulabilir.”</w:t>
      </w:r>
    </w:p>
    <w:p w14:paraId="47C8649E" w14:textId="77777777" w:rsidR="00F35DD8" w:rsidRPr="007F04BC" w:rsidRDefault="00F35DD8" w:rsidP="007F04BC">
      <w:pPr>
        <w:pStyle w:val="ListeParagraf"/>
        <w:tabs>
          <w:tab w:val="left" w:pos="900"/>
        </w:tabs>
        <w:spacing w:line="276" w:lineRule="auto"/>
        <w:jc w:val="both"/>
        <w:rPr>
          <w:rFonts w:cstheme="minorHAnsi"/>
        </w:rPr>
      </w:pPr>
    </w:p>
    <w:p w14:paraId="6DC8E8B9" w14:textId="77777777" w:rsidR="00F35DD8" w:rsidRPr="007F04BC" w:rsidRDefault="00F35DD8" w:rsidP="007F04BC">
      <w:pPr>
        <w:pStyle w:val="ListeParagraf"/>
        <w:numPr>
          <w:ilvl w:val="0"/>
          <w:numId w:val="22"/>
        </w:numPr>
        <w:spacing w:after="160" w:line="276" w:lineRule="auto"/>
        <w:ind w:left="630"/>
        <w:jc w:val="both"/>
        <w:rPr>
          <w:rFonts w:cstheme="minorHAnsi"/>
          <w:b/>
        </w:rPr>
      </w:pPr>
      <w:r w:rsidRPr="007F04BC">
        <w:rPr>
          <w:rFonts w:cstheme="minorHAnsi"/>
          <w:b/>
        </w:rPr>
        <w:t>Kabul edilebilirlik üzerine</w:t>
      </w:r>
    </w:p>
    <w:p w14:paraId="4F94ED8D" w14:textId="77777777" w:rsidR="00F35DD8" w:rsidRPr="007F04BC" w:rsidRDefault="00F35DD8" w:rsidP="007F04BC">
      <w:pPr>
        <w:pStyle w:val="ListeParagraf"/>
        <w:tabs>
          <w:tab w:val="left" w:pos="900"/>
        </w:tabs>
        <w:spacing w:line="276" w:lineRule="auto"/>
        <w:jc w:val="both"/>
        <w:rPr>
          <w:rFonts w:cstheme="minorHAnsi"/>
        </w:rPr>
      </w:pPr>
    </w:p>
    <w:p w14:paraId="1F6A2D3D" w14:textId="77777777" w:rsidR="00F35DD8" w:rsidRPr="007F04BC" w:rsidRDefault="00F35DD8" w:rsidP="007F04BC">
      <w:pPr>
        <w:pStyle w:val="ListeParagraf"/>
        <w:numPr>
          <w:ilvl w:val="0"/>
          <w:numId w:val="21"/>
        </w:numPr>
        <w:spacing w:after="160" w:line="276" w:lineRule="auto"/>
        <w:ind w:left="0" w:firstLine="360"/>
        <w:jc w:val="both"/>
        <w:rPr>
          <w:rFonts w:cstheme="minorHAnsi"/>
        </w:rPr>
      </w:pPr>
      <w:r w:rsidRPr="007F04BC">
        <w:rPr>
          <w:rFonts w:cstheme="minorHAnsi"/>
        </w:rPr>
        <w:t>Hükümet, başvurucu aleyhine yürütülen ceza yargılaması kapsamında verilen tutukluluk ve hükmün açıklanmasının geri bırakılması kararlarına yönelik olarak birden fazla kabul edilebilirlik itirazında bulunmaktadır. Hükümet ayrıca başvurunun açıkça dayanaktan yoksun olduğunu ileri sürmektedir.</w:t>
      </w:r>
    </w:p>
    <w:p w14:paraId="47565008" w14:textId="466E5BE9" w:rsidR="00F35DD8" w:rsidRPr="007F04BC" w:rsidRDefault="00F35DD8" w:rsidP="007F04BC">
      <w:pPr>
        <w:pStyle w:val="ListeParagraf"/>
        <w:numPr>
          <w:ilvl w:val="0"/>
          <w:numId w:val="21"/>
        </w:numPr>
        <w:spacing w:after="160" w:line="276" w:lineRule="auto"/>
        <w:ind w:left="0" w:firstLine="360"/>
        <w:jc w:val="both"/>
        <w:rPr>
          <w:rFonts w:cstheme="minorHAnsi"/>
        </w:rPr>
      </w:pPr>
      <w:r w:rsidRPr="007F04BC">
        <w:rPr>
          <w:rFonts w:cstheme="minorHAnsi"/>
        </w:rPr>
        <w:t xml:space="preserve">Başvurucunun tutuklanması kararına ilişkin olarak, Hükümet ilk olarak 18 Mayıs 2017’de verilen bu kararın esasında </w:t>
      </w:r>
      <w:r w:rsidR="00B21BC1" w:rsidRPr="007F04BC">
        <w:rPr>
          <w:rFonts w:cstheme="minorHAnsi"/>
        </w:rPr>
        <w:t>infaz</w:t>
      </w:r>
      <w:r w:rsidRPr="007F04BC">
        <w:rPr>
          <w:rFonts w:cstheme="minorHAnsi"/>
        </w:rPr>
        <w:t xml:space="preserve"> edilmediğini, çünkü terör örgütü propagandası yapma suçlamasıyla yürütülen bir ceza soruşturması kapsamında aynı gün daha erken saatlerde verilen başka bir tutuklama kararı gereğince başvurucunun hâlihazırda tutuklu olduğunu savunmaktadır. Bundan ötürü Hükümet, mevcut başvurunun konusunu oluşturan ceza yargılaması çerçevesinde verilen tutuklama kararı anlamında, başvurucunun mağdur sıfatına sahip olamayacağı kanaatindedir.</w:t>
      </w:r>
    </w:p>
    <w:p w14:paraId="554918B3" w14:textId="77777777" w:rsidR="00F35DD8" w:rsidRPr="007F04BC" w:rsidRDefault="00F35DD8" w:rsidP="007F04BC">
      <w:pPr>
        <w:pStyle w:val="ListeParagraf"/>
        <w:numPr>
          <w:ilvl w:val="0"/>
          <w:numId w:val="21"/>
        </w:numPr>
        <w:spacing w:after="160" w:line="276" w:lineRule="auto"/>
        <w:ind w:left="0" w:firstLine="360"/>
        <w:jc w:val="both"/>
        <w:rPr>
          <w:rFonts w:cstheme="minorHAnsi"/>
        </w:rPr>
      </w:pPr>
      <w:r w:rsidRPr="007F04BC">
        <w:rPr>
          <w:rFonts w:cstheme="minorHAnsi"/>
        </w:rPr>
        <w:t xml:space="preserve">Ötesinde, Hükümet, başvurucunun tutuklanmasına yönelik şikâyetini otuz günlük süreye uyarak Anayasa Mahkemesi önüne getirmediğini ve tutukluluğun devamına ilişkin kararların hiçbirine itiraz etmediğini belirtmektedir. Hükümet, kendisine göre, ilgilisine tutukluluğunun iddia </w:t>
      </w:r>
      <w:r w:rsidRPr="007F04BC">
        <w:rPr>
          <w:rFonts w:cstheme="minorHAnsi"/>
        </w:rPr>
        <w:lastRenderedPageBreak/>
        <w:t>edilen hukuksuzluğuna ve uzun süreli oluşuna ilişkin tazminat talebinde bulunmasına izin veren Ceza Muhakemesi Kanunu’nun 141. maddesinde öngörülen kanun yolunu kullanma imkânına başvurucunun sahip olduğunu eklemektedir. Sonuç olarak, Hükümet başvurucunun tutuklanmasına ilişkin şikâyeti için mevcut etkili hukuk yollarını tüketmediği ve her halükarda bu şikâyeti, kendince serbest bırakma kararından itibaren başlayan, altı aylık süre içerisinde Mahkeme’ye sunmadığı kanaatindedir.</w:t>
      </w:r>
    </w:p>
    <w:p w14:paraId="7045640A" w14:textId="2F800599" w:rsidR="00F35DD8" w:rsidRPr="007F04BC" w:rsidRDefault="00F35DD8" w:rsidP="007F04BC">
      <w:pPr>
        <w:pStyle w:val="ListeParagraf"/>
        <w:numPr>
          <w:ilvl w:val="0"/>
          <w:numId w:val="21"/>
        </w:numPr>
        <w:spacing w:after="160" w:line="276" w:lineRule="auto"/>
        <w:ind w:left="0" w:firstLine="360"/>
        <w:jc w:val="both"/>
        <w:rPr>
          <w:rFonts w:cstheme="minorHAnsi"/>
        </w:rPr>
      </w:pPr>
      <w:r w:rsidRPr="007F04BC">
        <w:rPr>
          <w:rFonts w:cstheme="minorHAnsi"/>
        </w:rPr>
        <w:t xml:space="preserve">Hükmün açıklanmasının geri bırakılması kararına ilişkin olarak, Hükümet, bu kararın hızlıca sonuçlanan bir ceza davası sonucunda ve başvurucunun rızası dahilinde alındığını, bu kararın başvurucuya hiçbir sınırlama veya külfet getirmediğini, beş senelik denetim süresinin bitiminden sonra bu kararın tüm sonuçlarıyla beraber ortadan kalkacağını ve denetim süresi bitmeden verilen hükmün açıklanması ihtimalinde ise başvurucunun buna karşı istinafa gidebileceğini belirtmektedir. Ayrıca Hükümet, başvurucunun verilen hükmün açıklanmasının geri bırakılması kararının ifade </w:t>
      </w:r>
      <w:r w:rsidR="00710712" w:rsidRPr="007F04BC">
        <w:rPr>
          <w:rFonts w:cstheme="minorHAnsi"/>
        </w:rPr>
        <w:t>özgürlüğünün</w:t>
      </w:r>
      <w:r w:rsidRPr="007F04BC">
        <w:rPr>
          <w:rFonts w:cstheme="minorHAnsi"/>
        </w:rPr>
        <w:t xml:space="preserve"> kullanımı üzerinde olumsuz bir etkisi olduğunu gösteremediğini savunmaktadır. Haliyle Hükümet, başvurucu aleyhine açıklanan bir mahkûmiyet kararının yokluğunda, başvurunun </w:t>
      </w:r>
      <w:r w:rsidRPr="007F04BC">
        <w:rPr>
          <w:rFonts w:cstheme="minorHAnsi"/>
          <w:i/>
        </w:rPr>
        <w:t>ratione personae</w:t>
      </w:r>
      <w:r w:rsidRPr="007F04BC">
        <w:rPr>
          <w:rFonts w:cstheme="minorHAnsi"/>
        </w:rPr>
        <w:t xml:space="preserve"> (kişi bakımından yetki) aykırılıktan ötürü kabul edilemez bulunması gerektiği düşüncesindedir.</w:t>
      </w:r>
    </w:p>
    <w:p w14:paraId="311BCBBE" w14:textId="2940BA66" w:rsidR="00F35DD8" w:rsidRPr="007F04BC" w:rsidRDefault="00F35DD8" w:rsidP="007F04BC">
      <w:pPr>
        <w:pStyle w:val="ListeParagraf"/>
        <w:numPr>
          <w:ilvl w:val="0"/>
          <w:numId w:val="21"/>
        </w:numPr>
        <w:spacing w:after="160" w:line="276" w:lineRule="auto"/>
        <w:ind w:left="0" w:firstLine="360"/>
        <w:jc w:val="both"/>
        <w:rPr>
          <w:rFonts w:cstheme="minorHAnsi"/>
        </w:rPr>
      </w:pPr>
      <w:r w:rsidRPr="007F04BC">
        <w:rPr>
          <w:rFonts w:cstheme="minorHAnsi"/>
        </w:rPr>
        <w:t xml:space="preserve">Hükümet </w:t>
      </w:r>
      <w:r w:rsidR="00710712" w:rsidRPr="007F04BC">
        <w:rPr>
          <w:rFonts w:cstheme="minorHAnsi"/>
        </w:rPr>
        <w:t>ayrıca</w:t>
      </w:r>
      <w:r w:rsidRPr="007F04BC">
        <w:rPr>
          <w:rFonts w:cstheme="minorHAnsi"/>
        </w:rPr>
        <w:t xml:space="preserve">, başvurucunun rızası ile verilen hükmün açıklanmasının geri bırakılması tedbiri nedeniyle ceza davasının denetim süresi boyunca ulusal mahkemeler önünde derdest olduğunun kabul edilmesi gerektiğini savunmaktadır. </w:t>
      </w:r>
      <w:r w:rsidR="008D1252" w:rsidRPr="007F04BC">
        <w:rPr>
          <w:rFonts w:cstheme="minorHAnsi"/>
        </w:rPr>
        <w:t>B</w:t>
      </w:r>
      <w:r w:rsidRPr="007F04BC">
        <w:rPr>
          <w:rFonts w:cstheme="minorHAnsi"/>
        </w:rPr>
        <w:t>aşvurucunun</w:t>
      </w:r>
      <w:r w:rsidR="00710712" w:rsidRPr="007F04BC">
        <w:rPr>
          <w:rFonts w:cstheme="minorHAnsi"/>
        </w:rPr>
        <w:t xml:space="preserve"> denetim süresi içerisinde kasti</w:t>
      </w:r>
      <w:r w:rsidRPr="007F04BC">
        <w:rPr>
          <w:rFonts w:cstheme="minorHAnsi"/>
        </w:rPr>
        <w:t xml:space="preserve"> bir suç işlemesi sebebiyle askıdaki hükmün açıklanması ihtimalinde, nezdinde söz konusu hükme karşı istinafa başvurulan yerel mahkemeler ile hükmün açıklanmasının geri bırakılması tedbiri sonrası yapılan bir bireysel başvuruyu inceleyecek olan Mahkeme’nin, ikincil rolüyle bağdaşmayacak şekilde, dava üzerinde aynı zamanda karar verecekleri bir durum ortaya çıkacaktır.</w:t>
      </w:r>
      <w:r w:rsidR="008D1252" w:rsidRPr="007F04BC">
        <w:rPr>
          <w:rFonts w:cstheme="minorHAnsi"/>
        </w:rPr>
        <w:t xml:space="preserve"> </w:t>
      </w:r>
      <w:r w:rsidRPr="007F04BC">
        <w:rPr>
          <w:rFonts w:cstheme="minorHAnsi"/>
        </w:rPr>
        <w:t>Dolayısıyla, Hükümet</w:t>
      </w:r>
      <w:r w:rsidR="00121D09" w:rsidRPr="007F04BC">
        <w:rPr>
          <w:rFonts w:cstheme="minorHAnsi"/>
        </w:rPr>
        <w:t>’</w:t>
      </w:r>
      <w:r w:rsidRPr="007F04BC">
        <w:rPr>
          <w:rFonts w:cstheme="minorHAnsi"/>
        </w:rPr>
        <w:t>e göre, başvuru bu aşamada olgunlaşmamış olarak nitelendirilmeli ve iç hukuk yollarının tüketilmemesi sebebiyle kabul edilemez bulunmalıdır.</w:t>
      </w:r>
    </w:p>
    <w:p w14:paraId="12641876" w14:textId="139ED2EA" w:rsidR="00F35DD8" w:rsidRPr="007F04BC" w:rsidRDefault="00F35DD8" w:rsidP="007F04BC">
      <w:pPr>
        <w:pStyle w:val="ListeParagraf"/>
        <w:numPr>
          <w:ilvl w:val="0"/>
          <w:numId w:val="21"/>
        </w:numPr>
        <w:spacing w:after="160" w:line="276" w:lineRule="auto"/>
        <w:ind w:left="0" w:firstLine="360"/>
        <w:jc w:val="both"/>
        <w:rPr>
          <w:rFonts w:cstheme="minorHAnsi"/>
        </w:rPr>
      </w:pPr>
      <w:r w:rsidRPr="007F04BC">
        <w:rPr>
          <w:rFonts w:cstheme="minorHAnsi"/>
        </w:rPr>
        <w:t xml:space="preserve">Hükümet son olarak, başvurucunun ulusal seviyede şikâyet ve argümanlarını yetkili yargı mercileri nezdinde öne sürme imkânını elde ettiği, şikâyetlerin ikincillik ilkesine uygun şekilde gerektiği gibi incelendiği ve olayda ulusal makamların vardığı sonuçları sorgulamak için hiçbir sebep olmadığı kanaatindedir. </w:t>
      </w:r>
      <w:r w:rsidR="00996803" w:rsidRPr="007F04BC">
        <w:rPr>
          <w:rFonts w:cstheme="minorHAnsi"/>
        </w:rPr>
        <w:t>Bu sebeple H</w:t>
      </w:r>
      <w:r w:rsidRPr="007F04BC">
        <w:rPr>
          <w:rFonts w:cstheme="minorHAnsi"/>
        </w:rPr>
        <w:t>ükümet</w:t>
      </w:r>
      <w:r w:rsidR="00996803" w:rsidRPr="007F04BC">
        <w:rPr>
          <w:rFonts w:cstheme="minorHAnsi"/>
        </w:rPr>
        <w:t>,</w:t>
      </w:r>
      <w:r w:rsidRPr="007F04BC">
        <w:rPr>
          <w:rFonts w:cstheme="minorHAnsi"/>
        </w:rPr>
        <w:t xml:space="preserve"> Mahkeme’den başvurunun </w:t>
      </w:r>
      <w:r w:rsidRPr="007F04BC">
        <w:rPr>
          <w:rFonts w:cstheme="minorHAnsi"/>
        </w:rPr>
        <w:lastRenderedPageBreak/>
        <w:t>açıkça dayanaktan yoksunluk sebebiyle kabul edilemez bulmaya davet etmektedir.</w:t>
      </w:r>
    </w:p>
    <w:p w14:paraId="250B1194" w14:textId="77777777" w:rsidR="00F35DD8" w:rsidRPr="007F04BC" w:rsidRDefault="00F35DD8" w:rsidP="007F04BC">
      <w:pPr>
        <w:pStyle w:val="ListeParagraf"/>
        <w:numPr>
          <w:ilvl w:val="0"/>
          <w:numId w:val="21"/>
        </w:numPr>
        <w:spacing w:after="160" w:line="276" w:lineRule="auto"/>
        <w:ind w:left="0" w:firstLine="360"/>
        <w:jc w:val="both"/>
        <w:rPr>
          <w:rFonts w:cstheme="minorHAnsi"/>
        </w:rPr>
      </w:pPr>
      <w:r w:rsidRPr="007F04BC">
        <w:rPr>
          <w:rFonts w:cstheme="minorHAnsi"/>
        </w:rPr>
        <w:t>Başvurucu bu itirazlar üzerine yorumda bulunmamaktadır.</w:t>
      </w:r>
    </w:p>
    <w:p w14:paraId="34AE22C6" w14:textId="2013DDD1" w:rsidR="00F35DD8" w:rsidRPr="007F04BC" w:rsidRDefault="00F35DD8" w:rsidP="007F04BC">
      <w:pPr>
        <w:pStyle w:val="ListeParagraf"/>
        <w:numPr>
          <w:ilvl w:val="0"/>
          <w:numId w:val="21"/>
        </w:numPr>
        <w:spacing w:after="160" w:line="276" w:lineRule="auto"/>
        <w:ind w:left="0" w:firstLine="360"/>
        <w:jc w:val="both"/>
        <w:rPr>
          <w:rFonts w:cstheme="minorHAnsi"/>
        </w:rPr>
      </w:pPr>
      <w:r w:rsidRPr="007F04BC">
        <w:rPr>
          <w:rFonts w:cstheme="minorHAnsi"/>
        </w:rPr>
        <w:t>Hükümet tarafından sunulan ve münhasıran başvurucunun tutuklanmasına ilişkin olan itirazlara yönelik olarak, Mahkeme, olayda başvurucu</w:t>
      </w:r>
      <w:r w:rsidR="00CB7AE3" w:rsidRPr="007F04BC">
        <w:rPr>
          <w:rFonts w:cstheme="minorHAnsi"/>
        </w:rPr>
        <w:t xml:space="preserve">nun Sözleşme’nin 5. maddesi </w:t>
      </w:r>
      <w:r w:rsidRPr="007F04BC">
        <w:rPr>
          <w:rFonts w:cstheme="minorHAnsi"/>
        </w:rPr>
        <w:t>kapsamında ayrı ele alınan tutukluluktan değil (</w:t>
      </w:r>
      <w:r w:rsidRPr="007F04BC">
        <w:rPr>
          <w:rFonts w:cstheme="minorHAnsi"/>
          <w:i/>
        </w:rPr>
        <w:t>Dickinson v. Türkiye</w:t>
      </w:r>
      <w:r w:rsidRPr="007F04BC">
        <w:rPr>
          <w:rFonts w:cstheme="minorHAnsi"/>
        </w:rPr>
        <w:t xml:space="preserve">, no. 25200/11, § 26, 2 Şubat 2021), aleyhinde yürütülen ceza yargılamasının bütünüyle ifade </w:t>
      </w:r>
      <w:r w:rsidR="00152E53" w:rsidRPr="007F04BC">
        <w:rPr>
          <w:rFonts w:cstheme="minorHAnsi"/>
        </w:rPr>
        <w:t>özgürlüğüne</w:t>
      </w:r>
      <w:r w:rsidRPr="007F04BC">
        <w:rPr>
          <w:rFonts w:cstheme="minorHAnsi"/>
        </w:rPr>
        <w:t xml:space="preserve"> yöneltilen bir ihlal olduğundan şikâyetçi olduğunu not eder. Haliyle, başvurucunun şikâyetinin niteliği ve ifade edilişi göz önünde bulundurulunca bu itirazlar kabul edilemeyeceklerdir.</w:t>
      </w:r>
    </w:p>
    <w:p w14:paraId="1778CEC3" w14:textId="56555418" w:rsidR="00F35DD8" w:rsidRPr="007F04BC" w:rsidRDefault="00F35DD8" w:rsidP="007F04BC">
      <w:pPr>
        <w:pStyle w:val="ListeParagraf"/>
        <w:numPr>
          <w:ilvl w:val="0"/>
          <w:numId w:val="21"/>
        </w:numPr>
        <w:spacing w:before="240" w:after="160" w:line="276" w:lineRule="auto"/>
        <w:ind w:left="0" w:firstLine="360"/>
        <w:jc w:val="both"/>
        <w:rPr>
          <w:rFonts w:cstheme="minorHAnsi"/>
        </w:rPr>
      </w:pPr>
      <w:r w:rsidRPr="007F04BC">
        <w:rPr>
          <w:rFonts w:cstheme="minorHAnsi"/>
        </w:rPr>
        <w:t xml:space="preserve">Hükmün açıklanmasının geri bırakılması kararına ilişkin olarak, Mahkeme, özellikle denetim süresi boyunca başvurucu üzerinde oluşturabileceği caydırıcı etki göz önünde bulundurulduğunda, ifade </w:t>
      </w:r>
      <w:r w:rsidR="00152E53" w:rsidRPr="007F04BC">
        <w:rPr>
          <w:rFonts w:cstheme="minorHAnsi"/>
        </w:rPr>
        <w:t>özgürlüğünün</w:t>
      </w:r>
      <w:r w:rsidRPr="007F04BC">
        <w:rPr>
          <w:rFonts w:cstheme="minorHAnsi"/>
        </w:rPr>
        <w:t xml:space="preserve"> ihlal edilmesi sebebiyle ilgilisinin doğrudan zarara maruz kaldığı ceza yargılamasının sonuçlarını gidermek veya önlemek için hükmün açıklanmasının geri bırakılması tedbirinin elverişli olmadığı yönündeki yerleşik içtihadını hatırlatır (bakınız, </w:t>
      </w:r>
      <w:r w:rsidRPr="007F04BC">
        <w:rPr>
          <w:rFonts w:cstheme="minorHAnsi"/>
          <w:i/>
        </w:rPr>
        <w:t>kıyasen</w:t>
      </w:r>
      <w:r w:rsidRPr="007F04BC">
        <w:rPr>
          <w:rFonts w:cstheme="minorHAnsi"/>
        </w:rPr>
        <w:t xml:space="preserve">, </w:t>
      </w:r>
      <w:r w:rsidRPr="007F04BC">
        <w:rPr>
          <w:rFonts w:cstheme="minorHAnsi"/>
          <w:i/>
        </w:rPr>
        <w:t>Aslı Güneş v. Türkiye</w:t>
      </w:r>
      <w:r w:rsidRPr="007F04BC">
        <w:rPr>
          <w:rFonts w:cstheme="minorHAnsi"/>
        </w:rPr>
        <w:t xml:space="preserve"> (k.k.), no. 53916/00, 13 Ma</w:t>
      </w:r>
      <w:r w:rsidR="00152E53" w:rsidRPr="007F04BC">
        <w:rPr>
          <w:rFonts w:cstheme="minorHAnsi"/>
        </w:rPr>
        <w:t>yıs 2004</w:t>
      </w:r>
      <w:r w:rsidRPr="007F04BC">
        <w:rPr>
          <w:rFonts w:cstheme="minorHAnsi"/>
        </w:rPr>
        <w:t xml:space="preserve">; </w:t>
      </w:r>
      <w:r w:rsidRPr="007F04BC">
        <w:rPr>
          <w:rFonts w:cstheme="minorHAnsi"/>
          <w:i/>
        </w:rPr>
        <w:t>Yaşar Kaplan v. Türkiye</w:t>
      </w:r>
      <w:r w:rsidRPr="007F04BC">
        <w:rPr>
          <w:rFonts w:cstheme="minorHAnsi"/>
        </w:rPr>
        <w:t>, no. 5</w:t>
      </w:r>
      <w:r w:rsidR="00152E53" w:rsidRPr="007F04BC">
        <w:rPr>
          <w:rFonts w:cstheme="minorHAnsi"/>
        </w:rPr>
        <w:t>6566/00, §§ 32-33, 24 Ocak 2006</w:t>
      </w:r>
      <w:r w:rsidRPr="007F04BC">
        <w:rPr>
          <w:rFonts w:cstheme="minorHAnsi"/>
        </w:rPr>
        <w:t xml:space="preserve">; </w:t>
      </w:r>
      <w:r w:rsidRPr="007F04BC">
        <w:rPr>
          <w:rFonts w:cstheme="minorHAnsi"/>
          <w:i/>
        </w:rPr>
        <w:t>Ergündoğan v. Türkiye</w:t>
      </w:r>
      <w:r w:rsidRPr="007F04BC">
        <w:rPr>
          <w:rFonts w:cstheme="minorHAnsi"/>
        </w:rPr>
        <w:t xml:space="preserve">, no. 48979/10, § 17, 17 Nisan 2018 ve </w:t>
      </w:r>
      <w:r w:rsidRPr="007F04BC">
        <w:rPr>
          <w:rFonts w:cstheme="minorHAnsi"/>
          <w:i/>
        </w:rPr>
        <w:t>Dickinson</w:t>
      </w:r>
      <w:r w:rsidRPr="007F04BC">
        <w:rPr>
          <w:rFonts w:cstheme="minorHAnsi"/>
        </w:rPr>
        <w:t>, yukarıda anılan, § 25, 2 Şubat 2021). Mahkeme ayrıca, başlı başına alakalıları için mağdur statüsü oluşturmaya elverişli olan ilgili ceza mevzuatının uygulanması neticesinde hükmün açıklanmasının geri bırakılması kararıyla sonuçlanan bir ceza yargılamasından şikâyetçi olması sebebiyle bir başvurucunun eleştirilemeyeceği kanaatindedir. Başvuru yapabilmesi için başvurucuyu beş yıllık denetim süresinin bitmesini beklemeye zorlamak mantıksız olacaktır ve bireysel başv</w:t>
      </w:r>
      <w:r w:rsidR="00DE12C3" w:rsidRPr="007F04BC">
        <w:rPr>
          <w:rFonts w:cstheme="minorHAnsi"/>
        </w:rPr>
        <w:t xml:space="preserve">uru hakkının, Sözleşme’nin 34. maddesinde </w:t>
      </w:r>
      <w:r w:rsidRPr="007F04BC">
        <w:rPr>
          <w:rFonts w:cstheme="minorHAnsi"/>
        </w:rPr>
        <w:t>belirtildiği haliyle (bakınız</w:t>
      </w:r>
      <w:r w:rsidRPr="007F04BC">
        <w:rPr>
          <w:rFonts w:cstheme="minorHAnsi"/>
          <w:b/>
        </w:rPr>
        <w:t xml:space="preserve">, </w:t>
      </w:r>
      <w:r w:rsidRPr="007F04BC">
        <w:rPr>
          <w:rFonts w:cstheme="minorHAnsi"/>
          <w:i/>
        </w:rPr>
        <w:t>kıyasen</w:t>
      </w:r>
      <w:r w:rsidRPr="007F04BC">
        <w:rPr>
          <w:rFonts w:cstheme="minorHAnsi"/>
        </w:rPr>
        <w:t xml:space="preserve">, </w:t>
      </w:r>
      <w:r w:rsidRPr="007F04BC">
        <w:rPr>
          <w:rFonts w:cstheme="minorHAnsi"/>
          <w:i/>
        </w:rPr>
        <w:t>Gaglione ve diğerleri v. İtalya</w:t>
      </w:r>
      <w:r w:rsidRPr="007F04BC">
        <w:rPr>
          <w:rFonts w:cstheme="minorHAnsi"/>
        </w:rPr>
        <w:t>, no. 45867/07 ve 69 diğer başvuru, § 22, 21 Aralık 2010), başvurucu tarafından etkili bir şekilde kullanılmasına orantısız bir külfet teşkil edecektir. Dolayısıyla, bu itirazların reddedilmesi uygun düşmektedir.</w:t>
      </w:r>
    </w:p>
    <w:p w14:paraId="10A0D799" w14:textId="7C77D061" w:rsidR="00F35DD8" w:rsidRPr="007F04BC" w:rsidRDefault="00F35DD8" w:rsidP="007F04BC">
      <w:pPr>
        <w:pStyle w:val="ListeParagraf"/>
        <w:numPr>
          <w:ilvl w:val="0"/>
          <w:numId w:val="21"/>
        </w:numPr>
        <w:spacing w:before="240" w:after="160" w:line="276" w:lineRule="auto"/>
        <w:ind w:left="0" w:firstLine="360"/>
        <w:jc w:val="both"/>
        <w:rPr>
          <w:rFonts w:cstheme="minorHAnsi"/>
        </w:rPr>
      </w:pPr>
      <w:r w:rsidRPr="007F04BC">
        <w:rPr>
          <w:rFonts w:cstheme="minorHAnsi"/>
        </w:rPr>
        <w:t>Başvurunun açıkça dayanaktan yoksun olduğuna ilişkin itiraza yönelik olarak, Mahkeme, bu itiraz anlamında iler</w:t>
      </w:r>
      <w:r w:rsidR="00DE12C3" w:rsidRPr="007F04BC">
        <w:rPr>
          <w:rFonts w:cstheme="minorHAnsi"/>
        </w:rPr>
        <w:t xml:space="preserve">i sürülen argümanların Sözleşme’nin 10. maddesine </w:t>
      </w:r>
      <w:r w:rsidRPr="007F04BC">
        <w:rPr>
          <w:rFonts w:cstheme="minorHAnsi"/>
        </w:rPr>
        <w:t>dayanan bu şikâyetin kabul edilebilirlik incelemesi değil de esasa ilişkin bir inceleme gerektiren sorulara vücut verdiği kanaatindedir (</w:t>
      </w:r>
      <w:r w:rsidRPr="007F04BC">
        <w:rPr>
          <w:rFonts w:cstheme="minorHAnsi"/>
          <w:i/>
        </w:rPr>
        <w:t>Mart ve diğerleri v. Türkiye</w:t>
      </w:r>
      <w:r w:rsidRPr="007F04BC">
        <w:rPr>
          <w:rFonts w:cstheme="minorHAnsi"/>
        </w:rPr>
        <w:t xml:space="preserve">, no. 57031/10, § 20, 19 </w:t>
      </w:r>
      <w:r w:rsidRPr="007F04BC">
        <w:rPr>
          <w:rFonts w:cstheme="minorHAnsi"/>
        </w:rPr>
        <w:lastRenderedPageBreak/>
        <w:t xml:space="preserve">Mart 2019 ; </w:t>
      </w:r>
      <w:r w:rsidRPr="007F04BC">
        <w:rPr>
          <w:rFonts w:cstheme="minorHAnsi"/>
          <w:i/>
        </w:rPr>
        <w:t>Önal v. Türkiye (no. 2)</w:t>
      </w:r>
      <w:r w:rsidRPr="007F04BC">
        <w:rPr>
          <w:rFonts w:cstheme="minorHAnsi"/>
        </w:rPr>
        <w:t xml:space="preserve">, no. 44982/07, § 22, 2 Temmuz 2019 ve </w:t>
      </w:r>
      <w:r w:rsidRPr="007F04BC">
        <w:rPr>
          <w:rFonts w:cstheme="minorHAnsi"/>
          <w:i/>
        </w:rPr>
        <w:t>Gürbüz ve Bayar v. Türkiye</w:t>
      </w:r>
      <w:r w:rsidRPr="007F04BC">
        <w:rPr>
          <w:rFonts w:cstheme="minorHAnsi"/>
        </w:rPr>
        <w:t xml:space="preserve">, no. 8860/13, § 26, 23 Temmuz 2019). </w:t>
      </w:r>
    </w:p>
    <w:p w14:paraId="057BCA5F" w14:textId="77777777" w:rsidR="00F35DD8" w:rsidRPr="007F04BC" w:rsidRDefault="00F35DD8" w:rsidP="007F04BC">
      <w:pPr>
        <w:pStyle w:val="ListeParagraf"/>
        <w:numPr>
          <w:ilvl w:val="0"/>
          <w:numId w:val="21"/>
        </w:numPr>
        <w:spacing w:after="160" w:line="276" w:lineRule="auto"/>
        <w:ind w:left="0" w:firstLine="360"/>
        <w:jc w:val="both"/>
        <w:rPr>
          <w:rFonts w:cstheme="minorHAnsi"/>
        </w:rPr>
      </w:pPr>
      <w:r w:rsidRPr="007F04BC">
        <w:rPr>
          <w:rFonts w:cstheme="minorHAnsi"/>
        </w:rPr>
        <w:t>Mahkeme, başvurunun açıkça dayanaktan yoksun olmadığını ve Sözleşme'nin 35. maddesinde öngörülen başka bir sebeple kabul edilemez olmadığını tespit ederek, başvurunun kabul edilebilir olduğuna hükmetmektedir.</w:t>
      </w:r>
    </w:p>
    <w:p w14:paraId="21AE3912" w14:textId="77777777" w:rsidR="00F35DD8" w:rsidRPr="007F04BC" w:rsidRDefault="00F35DD8" w:rsidP="007F04BC">
      <w:pPr>
        <w:spacing w:line="276" w:lineRule="auto"/>
        <w:jc w:val="both"/>
        <w:rPr>
          <w:rFonts w:cstheme="minorHAnsi"/>
        </w:rPr>
      </w:pPr>
      <w:r w:rsidRPr="007F04BC">
        <w:rPr>
          <w:rFonts w:cstheme="minorHAnsi"/>
        </w:rPr>
        <w:t>B. Esas Hakkında</w:t>
      </w:r>
    </w:p>
    <w:p w14:paraId="33D031A5" w14:textId="77777777" w:rsidR="00F35DD8" w:rsidRPr="007F04BC" w:rsidRDefault="00F35DD8" w:rsidP="007F04BC">
      <w:pPr>
        <w:spacing w:line="276" w:lineRule="auto"/>
        <w:jc w:val="both"/>
        <w:rPr>
          <w:rFonts w:cstheme="minorHAnsi"/>
        </w:rPr>
      </w:pPr>
    </w:p>
    <w:p w14:paraId="550D5311" w14:textId="1CC172E5" w:rsidR="00F35DD8" w:rsidRPr="007F04BC" w:rsidRDefault="00F35DD8" w:rsidP="007F04BC">
      <w:pPr>
        <w:pStyle w:val="ListeParagraf"/>
        <w:numPr>
          <w:ilvl w:val="0"/>
          <w:numId w:val="23"/>
        </w:numPr>
        <w:spacing w:line="276" w:lineRule="auto"/>
        <w:jc w:val="both"/>
        <w:rPr>
          <w:rFonts w:cstheme="minorHAnsi"/>
        </w:rPr>
      </w:pPr>
      <w:r w:rsidRPr="007F04BC">
        <w:rPr>
          <w:rFonts w:cstheme="minorHAnsi"/>
        </w:rPr>
        <w:t xml:space="preserve">Tarafların İddiaları </w:t>
      </w:r>
    </w:p>
    <w:p w14:paraId="7B38A1FE" w14:textId="77777777" w:rsidR="00F35DD8" w:rsidRPr="007F04BC" w:rsidRDefault="00F35DD8" w:rsidP="007F04BC">
      <w:pPr>
        <w:spacing w:line="276" w:lineRule="auto"/>
        <w:jc w:val="both"/>
        <w:rPr>
          <w:rFonts w:cstheme="minorHAnsi"/>
        </w:rPr>
      </w:pPr>
    </w:p>
    <w:p w14:paraId="46AB7FEA" w14:textId="77777777" w:rsidR="00F35DD8" w:rsidRPr="007F04BC" w:rsidRDefault="00F35DD8" w:rsidP="007F04BC">
      <w:pPr>
        <w:pStyle w:val="ListeParagraf"/>
        <w:numPr>
          <w:ilvl w:val="0"/>
          <w:numId w:val="24"/>
        </w:numPr>
        <w:spacing w:line="276" w:lineRule="auto"/>
        <w:jc w:val="both"/>
        <w:rPr>
          <w:rFonts w:cstheme="minorHAnsi"/>
          <w:i/>
          <w:iCs/>
        </w:rPr>
      </w:pPr>
      <w:r w:rsidRPr="007F04BC">
        <w:rPr>
          <w:rFonts w:cstheme="minorHAnsi"/>
          <w:i/>
          <w:iCs/>
        </w:rPr>
        <w:t>Başvurucu</w:t>
      </w:r>
    </w:p>
    <w:p w14:paraId="3C570A8D" w14:textId="77777777" w:rsidR="00F35DD8" w:rsidRPr="007F04BC" w:rsidRDefault="00F35DD8" w:rsidP="007F04BC">
      <w:pPr>
        <w:spacing w:line="276" w:lineRule="auto"/>
        <w:jc w:val="both"/>
        <w:rPr>
          <w:rFonts w:cstheme="minorHAnsi"/>
        </w:rPr>
      </w:pPr>
    </w:p>
    <w:p w14:paraId="723C9531" w14:textId="69D90C18" w:rsidR="00F35DD8" w:rsidRPr="007F04BC" w:rsidRDefault="00F35DD8" w:rsidP="007F04BC">
      <w:pPr>
        <w:spacing w:line="276" w:lineRule="auto"/>
        <w:jc w:val="both"/>
        <w:rPr>
          <w:rFonts w:cstheme="minorHAnsi"/>
        </w:rPr>
      </w:pPr>
      <w:r w:rsidRPr="007F04BC">
        <w:rPr>
          <w:rFonts w:cstheme="minorHAnsi"/>
        </w:rPr>
        <w:t>32. Başvurucu, sosyal medya</w:t>
      </w:r>
      <w:r w:rsidR="00F61B6F" w:rsidRPr="007F04BC">
        <w:rPr>
          <w:rFonts w:cstheme="minorHAnsi"/>
        </w:rPr>
        <w:t xml:space="preserve"> hesapların</w:t>
      </w:r>
      <w:r w:rsidRPr="007F04BC">
        <w:rPr>
          <w:rFonts w:cstheme="minorHAnsi"/>
        </w:rPr>
        <w:t xml:space="preserve">da yapmış olduğu paylaşımlar nedeniyle aleyhine başlatılan ceza yargılaması ile bu yargılamalar sonunda Cumhurbaşkanına hakaretten mahkûm edilmesinin, ifade özgürlüğü hakkına müdahale teşkil ettiğini ileri sürmekte olup bu müdahalenin, 10. maddenin 2. fıkrasında sayılan meşru amaçlardan hiçbirine dayanmadığını ve demokratik bir toplumda gerekli olmadığını belirtmektedir. </w:t>
      </w:r>
    </w:p>
    <w:p w14:paraId="46B1D90C" w14:textId="77777777" w:rsidR="00946DFA" w:rsidRPr="007F04BC" w:rsidRDefault="00946DFA" w:rsidP="007F04BC">
      <w:pPr>
        <w:spacing w:line="276" w:lineRule="auto"/>
        <w:jc w:val="both"/>
        <w:rPr>
          <w:rFonts w:cstheme="minorHAnsi"/>
        </w:rPr>
      </w:pPr>
    </w:p>
    <w:p w14:paraId="19346E11" w14:textId="77777777" w:rsidR="00F35DD8" w:rsidRPr="007F04BC" w:rsidRDefault="00F35DD8" w:rsidP="007F04BC">
      <w:pPr>
        <w:spacing w:line="276" w:lineRule="auto"/>
        <w:jc w:val="both"/>
        <w:rPr>
          <w:rFonts w:cstheme="minorHAnsi"/>
        </w:rPr>
      </w:pPr>
    </w:p>
    <w:p w14:paraId="0B6F3FFF" w14:textId="77777777" w:rsidR="00F35DD8" w:rsidRPr="007F04BC" w:rsidRDefault="00F35DD8" w:rsidP="007F04BC">
      <w:pPr>
        <w:pStyle w:val="ListeParagraf"/>
        <w:numPr>
          <w:ilvl w:val="0"/>
          <w:numId w:val="24"/>
        </w:numPr>
        <w:spacing w:line="276" w:lineRule="auto"/>
        <w:jc w:val="both"/>
        <w:rPr>
          <w:rFonts w:cstheme="minorHAnsi"/>
          <w:i/>
          <w:iCs/>
        </w:rPr>
      </w:pPr>
      <w:r w:rsidRPr="007F04BC">
        <w:rPr>
          <w:rFonts w:cstheme="minorHAnsi"/>
          <w:i/>
          <w:iCs/>
        </w:rPr>
        <w:t>Hükümet</w:t>
      </w:r>
    </w:p>
    <w:p w14:paraId="45F6C77E" w14:textId="77777777" w:rsidR="00F35DD8" w:rsidRPr="007F04BC" w:rsidRDefault="00F35DD8" w:rsidP="007F04BC">
      <w:pPr>
        <w:spacing w:line="276" w:lineRule="auto"/>
        <w:jc w:val="both"/>
        <w:rPr>
          <w:rFonts w:cstheme="minorHAnsi"/>
        </w:rPr>
      </w:pPr>
    </w:p>
    <w:p w14:paraId="450BFBD8" w14:textId="7A1EB1E4" w:rsidR="00F35DD8" w:rsidRPr="007F04BC" w:rsidRDefault="00F35DD8" w:rsidP="007F04BC">
      <w:pPr>
        <w:spacing w:line="276" w:lineRule="auto"/>
        <w:jc w:val="both"/>
        <w:rPr>
          <w:rFonts w:cstheme="minorHAnsi"/>
        </w:rPr>
      </w:pPr>
      <w:r w:rsidRPr="007F04BC">
        <w:rPr>
          <w:rFonts w:cstheme="minorHAnsi"/>
        </w:rPr>
        <w:t>33. Hükümet, mevcut davada, hiçbir zaman zaten yerine getirilmediğini düşündükleri tutuklama kararı ile ardından ceza yargılaması sonucunda verilen hükmün açıklanmasının geri bırakılması kararının, başvurucunun ifade özgürlüğünü kullanması üzerinde caydırıcı bir etki veya gerçek kısıtlamalar yaratmayacağını ileri sürmüştür. Ayrıca, başvurucu tarafından paylaşılan ihtilaflı içeriğin, özel olarak Cumhurbaşkanı aleyhine yöneltilmiş, olgusal bir temele dayanmayan değer yargılarından ibaret olduğu ve bu içeriklerin Sözleşme'nin 17. maddesi kapsamında ifade özgürlüğü tarafından korunamayacağı ileri sürülmektedir. Bu nedenle, mevcut davada başvuruc</w:t>
      </w:r>
      <w:r w:rsidR="00AD5F83" w:rsidRPr="007F04BC">
        <w:rPr>
          <w:rFonts w:cstheme="minorHAnsi"/>
        </w:rPr>
        <w:t>un</w:t>
      </w:r>
      <w:r w:rsidRPr="007F04BC">
        <w:rPr>
          <w:rFonts w:cstheme="minorHAnsi"/>
        </w:rPr>
        <w:t>u</w:t>
      </w:r>
      <w:r w:rsidR="00AD5F83" w:rsidRPr="007F04BC">
        <w:rPr>
          <w:rFonts w:cstheme="minorHAnsi"/>
        </w:rPr>
        <w:t xml:space="preserve">n ifade özgürlüğüne </w:t>
      </w:r>
      <w:r w:rsidRPr="007F04BC">
        <w:rPr>
          <w:rFonts w:cstheme="minorHAnsi"/>
        </w:rPr>
        <w:t>herhangi bir müdahalenin olmadığı savunulmuştur.</w:t>
      </w:r>
    </w:p>
    <w:p w14:paraId="045955B4" w14:textId="60A277A9" w:rsidR="00F35DD8" w:rsidRPr="007F04BC" w:rsidRDefault="00F35DD8" w:rsidP="007F04BC">
      <w:pPr>
        <w:spacing w:line="276" w:lineRule="auto"/>
        <w:jc w:val="both"/>
        <w:rPr>
          <w:rFonts w:cstheme="minorHAnsi"/>
        </w:rPr>
      </w:pPr>
      <w:r w:rsidRPr="007F04BC">
        <w:rPr>
          <w:rFonts w:cstheme="minorHAnsi"/>
        </w:rPr>
        <w:t xml:space="preserve">34. Mahkeme tarafından bir müdahalenin varlığının kabul edilmesi durumunda, Hükümet, </w:t>
      </w:r>
      <w:r w:rsidR="00AD5F83" w:rsidRPr="007F04BC">
        <w:rPr>
          <w:rFonts w:cstheme="minorHAnsi"/>
        </w:rPr>
        <w:t>bu müdahalenin Ceza K</w:t>
      </w:r>
      <w:r w:rsidRPr="007F04BC">
        <w:rPr>
          <w:rFonts w:cstheme="minorHAnsi"/>
        </w:rPr>
        <w:t>anunu</w:t>
      </w:r>
      <w:r w:rsidR="00AD5F83" w:rsidRPr="007F04BC">
        <w:rPr>
          <w:rFonts w:cstheme="minorHAnsi"/>
        </w:rPr>
        <w:t>’nun 129. m</w:t>
      </w:r>
      <w:r w:rsidRPr="007F04BC">
        <w:rPr>
          <w:rFonts w:cstheme="minorHAnsi"/>
        </w:rPr>
        <w:t xml:space="preserve">addesinde öngörüldüğünü; maddenin açık ve erişilebilir olduğunu ve konuyla ilgili yüksek mahkemelerin içtihatları ışığında mevcut davada ulusal mahkemeler tarafından yorumlanması ve uygulanmasının öngörülebilir olduğunu ileri </w:t>
      </w:r>
      <w:r w:rsidRPr="007F04BC">
        <w:rPr>
          <w:rFonts w:cstheme="minorHAnsi"/>
        </w:rPr>
        <w:lastRenderedPageBreak/>
        <w:t>sürmektedir</w:t>
      </w:r>
      <w:r w:rsidR="00AD5F83" w:rsidRPr="007F04BC">
        <w:rPr>
          <w:rFonts w:cstheme="minorHAnsi"/>
        </w:rPr>
        <w:t>. Bu bağlamda, Ceza K</w:t>
      </w:r>
      <w:r w:rsidRPr="007F04BC">
        <w:rPr>
          <w:rFonts w:cstheme="minorHAnsi"/>
        </w:rPr>
        <w:t>anunu</w:t>
      </w:r>
      <w:r w:rsidR="00AD5F83" w:rsidRPr="007F04BC">
        <w:rPr>
          <w:rFonts w:cstheme="minorHAnsi"/>
        </w:rPr>
        <w:t>’</w:t>
      </w:r>
      <w:r w:rsidRPr="007F04BC">
        <w:rPr>
          <w:rFonts w:cstheme="minorHAnsi"/>
        </w:rPr>
        <w:t>nun 125. maddesinde yer alan ve adi hakaret suçunu</w:t>
      </w:r>
      <w:r w:rsidR="0039352F" w:rsidRPr="007F04BC">
        <w:rPr>
          <w:rFonts w:cstheme="minorHAnsi"/>
        </w:rPr>
        <w:t xml:space="preserve"> düzenleyen hakaret tanımının, Ceza K</w:t>
      </w:r>
      <w:r w:rsidRPr="007F04BC">
        <w:rPr>
          <w:rFonts w:cstheme="minorHAnsi"/>
        </w:rPr>
        <w:t>anunu</w:t>
      </w:r>
      <w:r w:rsidR="0039352F" w:rsidRPr="007F04BC">
        <w:rPr>
          <w:rFonts w:cstheme="minorHAnsi"/>
        </w:rPr>
        <w:t>’</w:t>
      </w:r>
      <w:r w:rsidRPr="007F04BC">
        <w:rPr>
          <w:rFonts w:cstheme="minorHAnsi"/>
        </w:rPr>
        <w:t>nun 299. maddesinin uygulanmasında da kullanıldığını belirtmektedir. Ayrıca, devlet başkanlarının onur ve itibarını koruyan benzer hükümlerin birçok Avrupa ülkesinin ceza kanunlarında yer aldığını ve uygulanmaya devam ettiğini savunmaktadır. Buna ek olarak, Devlet Başkanına yönelik karalayıcı sözlerin sadece kiş</w:t>
      </w:r>
      <w:r w:rsidR="0039352F" w:rsidRPr="007F04BC">
        <w:rPr>
          <w:rFonts w:cstheme="minorHAnsi"/>
        </w:rPr>
        <w:t>iliğini</w:t>
      </w:r>
      <w:r w:rsidRPr="007F04BC">
        <w:rPr>
          <w:rFonts w:cstheme="minorHAnsi"/>
        </w:rPr>
        <w:t xml:space="preserve"> değil, temsil ettiği makamın bütünlüğünü de zedelediğini ve böylece, Türk toplumu nezdinde Devlet Başkanına yönelik doğrudan yapılan bir hakaretin tüm milleti küçük düşürdüğünü iddia etmektedir. Bu nedenle, Cumhurbaşkanına hakaret suçuna daha ağır bir yaptırım uygulanmasının da gerektiği savunulmaktadır. </w:t>
      </w:r>
    </w:p>
    <w:p w14:paraId="2491547F" w14:textId="01328D8A" w:rsidR="00F35DD8" w:rsidRPr="007F04BC" w:rsidRDefault="00F35DD8" w:rsidP="007F04BC">
      <w:pPr>
        <w:spacing w:line="276" w:lineRule="auto"/>
        <w:jc w:val="both"/>
        <w:rPr>
          <w:rFonts w:cstheme="minorHAnsi"/>
        </w:rPr>
      </w:pPr>
      <w:r w:rsidRPr="007F04BC">
        <w:rPr>
          <w:rFonts w:cstheme="minorHAnsi"/>
        </w:rPr>
        <w:t xml:space="preserve">35. Hükümet ayrıca, </w:t>
      </w:r>
      <w:r w:rsidR="008C67D8" w:rsidRPr="007F04BC">
        <w:rPr>
          <w:rFonts w:cstheme="minorHAnsi"/>
        </w:rPr>
        <w:t>şikâyet</w:t>
      </w:r>
      <w:r w:rsidRPr="007F04BC">
        <w:rPr>
          <w:rFonts w:cstheme="minorHAnsi"/>
        </w:rPr>
        <w:t xml:space="preserve"> konusu müdahalenin tartışmasız bir şekilde, başkalarının itibarını veya haklarını koruma amacı güttüğünü belirtmiştir.</w:t>
      </w:r>
    </w:p>
    <w:p w14:paraId="76634AB3" w14:textId="62BE89F6" w:rsidR="00F35DD8" w:rsidRPr="007F04BC" w:rsidRDefault="00F35DD8" w:rsidP="007F04BC">
      <w:pPr>
        <w:spacing w:line="276" w:lineRule="auto"/>
        <w:jc w:val="both"/>
        <w:rPr>
          <w:rFonts w:cstheme="minorHAnsi"/>
        </w:rPr>
      </w:pPr>
      <w:r w:rsidRPr="007F04BC">
        <w:rPr>
          <w:rFonts w:cstheme="minorHAnsi"/>
        </w:rPr>
        <w:t>36. Son olarak, Hükümet, ulusal mahkemelerin mevcut davada söz konusu menfaatleri takdir yetkileri dahilinde ve usulüne uygun olarak değerlendirdiği kanaatindedir. Bu bağlamda, ba</w:t>
      </w:r>
      <w:r w:rsidR="0039352F" w:rsidRPr="007F04BC">
        <w:rPr>
          <w:rFonts w:cstheme="minorHAnsi"/>
        </w:rPr>
        <w:t>şvurucunun kamuya açık sosyal medya</w:t>
      </w:r>
      <w:r w:rsidRPr="007F04BC">
        <w:rPr>
          <w:rFonts w:cstheme="minorHAnsi"/>
        </w:rPr>
        <w:t xml:space="preserve"> hesabında paylaştığı ihtilaflı içeriğin, önemli görev ve yetkileri nedeniyle kamuoyunun güveninden faydalanması gereken Cumhurbaşkanına atfedilerek cinayet ve katliamlardan çıkar sağlamak gibi suç teşkil eden fiilleri içerdiğini ve herhangi bir olgusal dayanağı olmaksızın cinsel yönelimli bir görüntüyle resmedildiğini ifade etmişlerdir. Hükümet</w:t>
      </w:r>
      <w:r w:rsidR="00D43371" w:rsidRPr="007F04BC">
        <w:rPr>
          <w:rFonts w:cstheme="minorHAnsi"/>
        </w:rPr>
        <w:t>’</w:t>
      </w:r>
      <w:r w:rsidRPr="007F04BC">
        <w:rPr>
          <w:rFonts w:cstheme="minorHAnsi"/>
        </w:rPr>
        <w:t>e göre, ceza yargılamasının sonunda hükmün açıklanmasının geri bırakılması kararı verilmesi davanın koşullarıyla orantılı bir tedbirdir. Ayrıca, başvurucu aleyhindeki cezai kovuşturmaların, karşıt sesleri susturmak ve kamusal tartışmayı engellemek a</w:t>
      </w:r>
      <w:r w:rsidR="00D43371" w:rsidRPr="007F04BC">
        <w:rPr>
          <w:rFonts w:cstheme="minorHAnsi"/>
        </w:rPr>
        <w:t>macıyla değil, Cumhurbaşkanı</w:t>
      </w:r>
      <w:r w:rsidRPr="007F04BC">
        <w:rPr>
          <w:rFonts w:cstheme="minorHAnsi"/>
        </w:rPr>
        <w:t xml:space="preserve">na yönelik söz konusu içeriğin aşağılayıcı ve karalayıcı olması nedeniyle başlatıldığını ileri sürmektedir. Her halükârda, başvurucunun </w:t>
      </w:r>
      <w:r w:rsidR="008C67D8" w:rsidRPr="007F04BC">
        <w:rPr>
          <w:rFonts w:cstheme="minorHAnsi"/>
        </w:rPr>
        <w:t>şikâyet</w:t>
      </w:r>
      <w:r w:rsidRPr="007F04BC">
        <w:rPr>
          <w:rFonts w:cstheme="minorHAnsi"/>
        </w:rPr>
        <w:t>inin, Türkiye'nin Sözleşme'nin 15. maddesi uyarınca, 21 Temmuz 2016'da Avrupa Konseyi Genel Sekreteri'ne sunduğu derogasyon ışığında incelenmesi gerektiği kanaatindedir.</w:t>
      </w:r>
    </w:p>
    <w:p w14:paraId="5A35A891" w14:textId="77777777" w:rsidR="00F35DD8" w:rsidRPr="007F04BC" w:rsidRDefault="00F35DD8" w:rsidP="007F04BC">
      <w:pPr>
        <w:spacing w:line="276" w:lineRule="auto"/>
        <w:jc w:val="both"/>
        <w:rPr>
          <w:rFonts w:cstheme="minorHAnsi"/>
        </w:rPr>
      </w:pPr>
    </w:p>
    <w:p w14:paraId="5790A01C" w14:textId="77777777" w:rsidR="00F35DD8" w:rsidRPr="007F04BC" w:rsidRDefault="00F35DD8" w:rsidP="007F04BC">
      <w:pPr>
        <w:pStyle w:val="ListeParagraf"/>
        <w:numPr>
          <w:ilvl w:val="0"/>
          <w:numId w:val="24"/>
        </w:numPr>
        <w:spacing w:line="276" w:lineRule="auto"/>
        <w:jc w:val="both"/>
        <w:rPr>
          <w:rFonts w:cstheme="minorHAnsi"/>
          <w:i/>
          <w:iCs/>
        </w:rPr>
      </w:pPr>
      <w:r w:rsidRPr="007F04BC">
        <w:rPr>
          <w:rFonts w:cstheme="minorHAnsi"/>
          <w:i/>
          <w:iCs/>
        </w:rPr>
        <w:t xml:space="preserve">Diğer taraflar </w:t>
      </w:r>
    </w:p>
    <w:p w14:paraId="625B3F6A" w14:textId="77777777" w:rsidR="00F35DD8" w:rsidRPr="007F04BC" w:rsidRDefault="00F35DD8" w:rsidP="007F04BC">
      <w:pPr>
        <w:pStyle w:val="ListeParagraf"/>
        <w:spacing w:line="276" w:lineRule="auto"/>
        <w:jc w:val="both"/>
        <w:rPr>
          <w:rFonts w:cstheme="minorHAnsi"/>
          <w:i/>
          <w:iCs/>
        </w:rPr>
      </w:pPr>
    </w:p>
    <w:p w14:paraId="556273E9" w14:textId="3921B634" w:rsidR="00F35DD8" w:rsidRPr="007F04BC" w:rsidRDefault="00F35DD8" w:rsidP="007F04BC">
      <w:pPr>
        <w:spacing w:line="276" w:lineRule="auto"/>
        <w:jc w:val="both"/>
        <w:rPr>
          <w:rFonts w:cstheme="minorHAnsi"/>
        </w:rPr>
      </w:pPr>
      <w:r w:rsidRPr="007F04BC">
        <w:rPr>
          <w:rFonts w:cstheme="minorHAnsi"/>
        </w:rPr>
        <w:t xml:space="preserve">37. İfade Özgürlüğü Derneği, başvurucunun Cumhurbaşkanına hakaret suçundan hüküm giyerek Ceza Kanunu'nun 299. maddesinden mahkûm edildiğini belirtmelerinin ardından; mevcut Cumhurbaşkanı Recep Tayyip Erdoğan döneminde, </w:t>
      </w:r>
      <w:r w:rsidR="00D43371" w:rsidRPr="007F04BC">
        <w:rPr>
          <w:rFonts w:cstheme="minorHAnsi"/>
        </w:rPr>
        <w:t>yetkililerin</w:t>
      </w:r>
      <w:r w:rsidRPr="007F04BC">
        <w:rPr>
          <w:rFonts w:cstheme="minorHAnsi"/>
        </w:rPr>
        <w:t xml:space="preserve"> bu ceza hükmünü kullanmada zirveye ulaştığını ileri sürmektedir. Bu bağlamda, 2014-2019 yılları arasında, bu </w:t>
      </w:r>
      <w:r w:rsidRPr="007F04BC">
        <w:rPr>
          <w:rFonts w:cstheme="minorHAnsi"/>
        </w:rPr>
        <w:lastRenderedPageBreak/>
        <w:t>hükmün uygulanması kapsamında, Cumhurbaşkanına hakaretten 128.872 ceza soruşturması ve 30.738 ceza davası başlatıldığına dair istatistikleri ortaya koymaktadır. Ayrıca, mevcut Cumhurbaşkanının, Anayasa Mahkemesi de dahil olmak üzere ulusal mahkemeler önünde özel ve ayrıcalıklı bir konuma sahip olduğunu ve bu mahkemelerin kendisi lehine karar verme eğiliminde olduğunu iddia etmektedir. Buna ek olarak, Mahkeme</w:t>
      </w:r>
      <w:r w:rsidR="001E140F" w:rsidRPr="007F04BC">
        <w:rPr>
          <w:rFonts w:cstheme="minorHAnsi"/>
        </w:rPr>
        <w:t>’</w:t>
      </w:r>
      <w:r w:rsidRPr="007F04BC">
        <w:rPr>
          <w:rFonts w:cstheme="minorHAnsi"/>
        </w:rPr>
        <w:t xml:space="preserve">nin ilgili karalama davalarına ilişkin içtihatlarını uygulamadıklarının altını çizmektedir. </w:t>
      </w:r>
    </w:p>
    <w:p w14:paraId="1A1256B8" w14:textId="48C29601" w:rsidR="00F35DD8" w:rsidRPr="007F04BC" w:rsidRDefault="00F35DD8" w:rsidP="007F04BC">
      <w:pPr>
        <w:spacing w:line="276" w:lineRule="auto"/>
        <w:jc w:val="both"/>
        <w:rPr>
          <w:rFonts w:cstheme="minorHAnsi"/>
        </w:rPr>
      </w:pPr>
      <w:r w:rsidRPr="007F04BC">
        <w:rPr>
          <w:rFonts w:cstheme="minorHAnsi"/>
        </w:rPr>
        <w:t xml:space="preserve">38. Üçüncü taraf, sosyal </w:t>
      </w:r>
      <w:r w:rsidR="001E140F" w:rsidRPr="007F04BC">
        <w:rPr>
          <w:rFonts w:cstheme="minorHAnsi"/>
        </w:rPr>
        <w:t>medya hesapların</w:t>
      </w:r>
      <w:r w:rsidRPr="007F04BC">
        <w:rPr>
          <w:rFonts w:cstheme="minorHAnsi"/>
        </w:rPr>
        <w:t>da yayınlanan içeriğin potansiyel etkisini değerlendirmenin de önemli olduğunu düşünmektedir. Bu bağlamda, sosyal medya kullanıcıları arasında bir ayrım</w:t>
      </w:r>
      <w:r w:rsidR="001E140F" w:rsidRPr="007F04BC">
        <w:rPr>
          <w:rFonts w:cstheme="minorHAnsi"/>
        </w:rPr>
        <w:t xml:space="preserve"> yapılması gerektiğini savunmaktadır:</w:t>
      </w:r>
      <w:r w:rsidRPr="007F04BC">
        <w:rPr>
          <w:rFonts w:cstheme="minorHAnsi"/>
        </w:rPr>
        <w:t xml:space="preserve"> orijinal içeriği yaratan, üreten ve içeriğe sahip olan yazar; orijinal içeriği paylaşan doğrudan yayıncı; ve orijinal içeriği "beğen"en dolaylı yayıncı. Yayınlanan belirli içerikler için "yazar" kategorisinin sorumluluğu söz konusu olabilirse de aynısı, "yayıncı" kategorileri için geçerli değildir, çünkü bu tür paylaşımların sosyal medyalarda yayılmasının potansiyel etkisinin dikkate alınması gerekir.</w:t>
      </w:r>
    </w:p>
    <w:p w14:paraId="4C95988D" w14:textId="42BF5D14" w:rsidR="00F35DD8" w:rsidRPr="007F04BC" w:rsidRDefault="00F35DD8" w:rsidP="007F04BC">
      <w:pPr>
        <w:spacing w:line="276" w:lineRule="auto"/>
        <w:jc w:val="both"/>
        <w:rPr>
          <w:rFonts w:cstheme="minorHAnsi"/>
        </w:rPr>
      </w:pPr>
      <w:r w:rsidRPr="007F04BC">
        <w:rPr>
          <w:rFonts w:cstheme="minorHAnsi"/>
        </w:rPr>
        <w:t xml:space="preserve">39. </w:t>
      </w:r>
      <w:r w:rsidR="008E790E" w:rsidRPr="007F04BC">
        <w:rPr>
          <w:rFonts w:cstheme="minorHAnsi"/>
        </w:rPr>
        <w:t xml:space="preserve">Üçüncü </w:t>
      </w:r>
      <w:r w:rsidRPr="007F04BC">
        <w:rPr>
          <w:rFonts w:cstheme="minorHAnsi"/>
        </w:rPr>
        <w:t>taraf</w:t>
      </w:r>
      <w:r w:rsidR="008E790E" w:rsidRPr="007F04BC">
        <w:rPr>
          <w:rFonts w:cstheme="minorHAnsi"/>
        </w:rPr>
        <w:t>, son olarak, Ceza K</w:t>
      </w:r>
      <w:r w:rsidRPr="007F04BC">
        <w:rPr>
          <w:rFonts w:cstheme="minorHAnsi"/>
        </w:rPr>
        <w:t>anunu</w:t>
      </w:r>
      <w:r w:rsidR="008E790E" w:rsidRPr="007F04BC">
        <w:rPr>
          <w:rFonts w:cstheme="minorHAnsi"/>
        </w:rPr>
        <w:t>’</w:t>
      </w:r>
      <w:r w:rsidRPr="007F04BC">
        <w:rPr>
          <w:rFonts w:cstheme="minorHAnsi"/>
        </w:rPr>
        <w:t>nun 299. maddesinin karşıt görüşleri</w:t>
      </w:r>
      <w:r w:rsidR="008E790E" w:rsidRPr="007F04BC">
        <w:rPr>
          <w:rFonts w:cstheme="minorHAnsi"/>
        </w:rPr>
        <w:t xml:space="preserve"> susturmak ve Cumhurbaşkanı</w:t>
      </w:r>
      <w:r w:rsidRPr="007F04BC">
        <w:rPr>
          <w:rFonts w:cstheme="minorHAnsi"/>
        </w:rPr>
        <w:t>na ayrıcalıklı koruma sağlamak için kullanıldığını ve bu hükmün uygulanmasının içtihat hukuku dikkate alınmadan kamuoyu tartışmalarını bastırdığını</w:t>
      </w:r>
      <w:r w:rsidR="008E790E" w:rsidRPr="007F04BC">
        <w:rPr>
          <w:rFonts w:cstheme="minorHAnsi"/>
        </w:rPr>
        <w:t xml:space="preserve"> düşünmektedir. Bu nedenle, Ceza K</w:t>
      </w:r>
      <w:r w:rsidRPr="007F04BC">
        <w:rPr>
          <w:rFonts w:cstheme="minorHAnsi"/>
        </w:rPr>
        <w:t>anunu</w:t>
      </w:r>
      <w:r w:rsidR="008E790E" w:rsidRPr="007F04BC">
        <w:rPr>
          <w:rFonts w:cstheme="minorHAnsi"/>
        </w:rPr>
        <w:t>’</w:t>
      </w:r>
      <w:r w:rsidRPr="007F04BC">
        <w:rPr>
          <w:rFonts w:cstheme="minorHAnsi"/>
        </w:rPr>
        <w:t>nun 299. maddesinin Sözleşme'nin standartlarına uymadığını ve Türk yargısının bu</w:t>
      </w:r>
      <w:r w:rsidR="008E790E" w:rsidRPr="007F04BC">
        <w:rPr>
          <w:rFonts w:cstheme="minorHAnsi"/>
        </w:rPr>
        <w:t xml:space="preserve"> </w:t>
      </w:r>
      <w:r w:rsidRPr="007F04BC">
        <w:rPr>
          <w:rFonts w:cstheme="minorHAnsi"/>
        </w:rPr>
        <w:t>hükmü uygulamasının siyasi söylem üzerindeki zararlı etkisini artırdığını değerlendirmektedir.</w:t>
      </w:r>
    </w:p>
    <w:p w14:paraId="220A2C8C" w14:textId="77777777" w:rsidR="00F35DD8" w:rsidRPr="007F04BC" w:rsidRDefault="00F35DD8" w:rsidP="007F04BC">
      <w:pPr>
        <w:spacing w:line="276" w:lineRule="auto"/>
        <w:jc w:val="both"/>
        <w:rPr>
          <w:rFonts w:cstheme="minorHAnsi"/>
        </w:rPr>
      </w:pPr>
    </w:p>
    <w:p w14:paraId="7B5BA9BB" w14:textId="0CBD071F" w:rsidR="00F35DD8" w:rsidRPr="007F04BC" w:rsidRDefault="00F35DD8" w:rsidP="007F04BC">
      <w:pPr>
        <w:pStyle w:val="ListeParagraf"/>
        <w:numPr>
          <w:ilvl w:val="0"/>
          <w:numId w:val="23"/>
        </w:numPr>
        <w:spacing w:line="276" w:lineRule="auto"/>
        <w:jc w:val="both"/>
        <w:rPr>
          <w:rFonts w:cstheme="minorHAnsi"/>
          <w:i/>
          <w:iCs/>
        </w:rPr>
      </w:pPr>
      <w:r w:rsidRPr="007F04BC">
        <w:rPr>
          <w:rFonts w:cstheme="minorHAnsi"/>
          <w:i/>
          <w:iCs/>
        </w:rPr>
        <w:t>Mahkeme</w:t>
      </w:r>
      <w:r w:rsidR="008E790E" w:rsidRPr="007F04BC">
        <w:rPr>
          <w:rFonts w:cstheme="minorHAnsi"/>
          <w:i/>
          <w:iCs/>
        </w:rPr>
        <w:t>’</w:t>
      </w:r>
      <w:r w:rsidRPr="007F04BC">
        <w:rPr>
          <w:rFonts w:cstheme="minorHAnsi"/>
          <w:i/>
          <w:iCs/>
        </w:rPr>
        <w:t xml:space="preserve">nin Değerlendirmesi </w:t>
      </w:r>
    </w:p>
    <w:p w14:paraId="068B77F4" w14:textId="77777777" w:rsidR="00F35DD8" w:rsidRPr="007F04BC" w:rsidRDefault="00F35DD8" w:rsidP="007F04BC">
      <w:pPr>
        <w:pStyle w:val="ListeParagraf"/>
        <w:spacing w:line="276" w:lineRule="auto"/>
        <w:jc w:val="both"/>
        <w:rPr>
          <w:rFonts w:cstheme="minorHAnsi"/>
          <w:i/>
          <w:iCs/>
        </w:rPr>
      </w:pPr>
    </w:p>
    <w:p w14:paraId="2F85796C" w14:textId="0F354A03" w:rsidR="00F35DD8" w:rsidRPr="007F04BC" w:rsidRDefault="00F35DD8" w:rsidP="007F04BC">
      <w:pPr>
        <w:spacing w:line="276" w:lineRule="auto"/>
        <w:jc w:val="both"/>
        <w:rPr>
          <w:rFonts w:cstheme="minorHAnsi"/>
        </w:rPr>
      </w:pPr>
      <w:r w:rsidRPr="007F04BC">
        <w:rPr>
          <w:rFonts w:cstheme="minorHAnsi"/>
        </w:rPr>
        <w:t>40. Mahkeme, mevcut davada başvurucunun Facebook hesabında paylaştığı</w:t>
      </w:r>
      <w:r w:rsidR="00B21BC1" w:rsidRPr="007F04BC">
        <w:rPr>
          <w:rFonts w:cstheme="minorHAnsi"/>
        </w:rPr>
        <w:t xml:space="preserve"> Cumhurbaşkanı</w:t>
      </w:r>
      <w:r w:rsidRPr="007F04BC">
        <w:rPr>
          <w:rFonts w:cstheme="minorHAnsi"/>
        </w:rPr>
        <w:t xml:space="preserve">na yönelik hicivli ve eleştirel yorumlar bulunan bir fotoğrafını ve bir karikatürünü içeren iki içerik nedeniyle, Cumhurbaşkanına hakaretten on bir ay yirmi gün hapis cezasına çarptırılarak hükmün açıklanmasının geri bırakılması kararı verildiğini tespit etmiştir. </w:t>
      </w:r>
    </w:p>
    <w:p w14:paraId="2E8FFD67" w14:textId="77777777" w:rsidR="00F35DD8" w:rsidRPr="007F04BC" w:rsidRDefault="00F35DD8" w:rsidP="007F04BC">
      <w:pPr>
        <w:spacing w:line="276" w:lineRule="auto"/>
        <w:jc w:val="both"/>
        <w:rPr>
          <w:rFonts w:cstheme="minorHAnsi"/>
        </w:rPr>
      </w:pPr>
    </w:p>
    <w:p w14:paraId="422A57C7" w14:textId="1F33A377" w:rsidR="00F35DD8" w:rsidRPr="007F04BC" w:rsidRDefault="00F35DD8" w:rsidP="007F04BC">
      <w:pPr>
        <w:spacing w:line="276" w:lineRule="auto"/>
        <w:jc w:val="both"/>
        <w:rPr>
          <w:rFonts w:cstheme="minorHAnsi"/>
        </w:rPr>
      </w:pPr>
      <w:r w:rsidRPr="007F04BC">
        <w:rPr>
          <w:rFonts w:cstheme="minorHAnsi"/>
        </w:rPr>
        <w:t xml:space="preserve">41. Mahkeme, tutuklama kararının -Hükümet tarafından belirtildiği üzere infaz edilmemiş olsa bile- başvurucu aleyhine başlatılan ceza yargılaması bağlamında verdiği caydırıcı etki göz önüne alındığında, başvurucunun cezai mahkûmiyetinin yanı sıra, başvurucuyu beş yıllık bir denetimli serbestlik süresine tabi tutan hükmün açıklanmasının geri bırakılması </w:t>
      </w:r>
      <w:r w:rsidRPr="007F04BC">
        <w:rPr>
          <w:rFonts w:cstheme="minorHAnsi"/>
        </w:rPr>
        <w:lastRenderedPageBreak/>
        <w:t>prosedürünün sonunda, başvurucunun ifade özgürlüğü hakkının kullanmasına müdahale teşkil edebileceği varsaymaktadır (</w:t>
      </w:r>
      <w:r w:rsidR="000A15D9" w:rsidRPr="007F04BC">
        <w:rPr>
          <w:rFonts w:cstheme="minorHAnsi"/>
          <w:i/>
          <w:iCs/>
        </w:rPr>
        <w:t xml:space="preserve">Erdoğdu v. </w:t>
      </w:r>
      <w:r w:rsidRPr="007F04BC">
        <w:rPr>
          <w:rFonts w:cstheme="minorHAnsi"/>
          <w:i/>
          <w:iCs/>
        </w:rPr>
        <w:t>Türkiye</w:t>
      </w:r>
      <w:r w:rsidRPr="007F04BC">
        <w:rPr>
          <w:rFonts w:cstheme="minorHAnsi"/>
        </w:rPr>
        <w:t>, no</w:t>
      </w:r>
      <w:r w:rsidR="000A15D9" w:rsidRPr="007F04BC">
        <w:rPr>
          <w:rFonts w:cstheme="minorHAnsi"/>
        </w:rPr>
        <w:t>. 25723/94, § 72, AİHM 2000-VI ;</w:t>
      </w:r>
      <w:r w:rsidRPr="007F04BC">
        <w:rPr>
          <w:rFonts w:cstheme="minorHAnsi"/>
        </w:rPr>
        <w:t xml:space="preserve"> </w:t>
      </w:r>
      <w:r w:rsidR="000A15D9" w:rsidRPr="007F04BC">
        <w:rPr>
          <w:rFonts w:cstheme="minorHAnsi"/>
          <w:i/>
          <w:iCs/>
        </w:rPr>
        <w:t xml:space="preserve">Dilipak v. </w:t>
      </w:r>
      <w:r w:rsidRPr="007F04BC">
        <w:rPr>
          <w:rFonts w:cstheme="minorHAnsi"/>
          <w:i/>
          <w:iCs/>
        </w:rPr>
        <w:t>Türkiye</w:t>
      </w:r>
      <w:r w:rsidRPr="007F04BC">
        <w:rPr>
          <w:rFonts w:cstheme="minorHAnsi"/>
        </w:rPr>
        <w:t>, no</w:t>
      </w:r>
      <w:r w:rsidR="000A15D9" w:rsidRPr="007F04BC">
        <w:rPr>
          <w:rFonts w:cstheme="minorHAnsi"/>
        </w:rPr>
        <w:t>.</w:t>
      </w:r>
      <w:r w:rsidRPr="007F04BC">
        <w:rPr>
          <w:rFonts w:cstheme="minorHAnsi"/>
        </w:rPr>
        <w:t xml:space="preserve"> 29680/05, § 51, 15 Eylül 2015, </w:t>
      </w:r>
      <w:r w:rsidRPr="007F04BC">
        <w:rPr>
          <w:rFonts w:cstheme="minorHAnsi"/>
          <w:i/>
          <w:iCs/>
        </w:rPr>
        <w:t>Ergündoğan</w:t>
      </w:r>
      <w:r w:rsidRPr="007F04BC">
        <w:rPr>
          <w:rFonts w:cstheme="minorHAnsi"/>
        </w:rPr>
        <w:t xml:space="preserve">, yukarıda anılan, § 26, 17 Nisan 2018 ve </w:t>
      </w:r>
      <w:r w:rsidR="000A15D9" w:rsidRPr="007F04BC">
        <w:rPr>
          <w:rFonts w:cstheme="minorHAnsi"/>
          <w:i/>
          <w:iCs/>
        </w:rPr>
        <w:t xml:space="preserve">Selahattin Demirtaş v. </w:t>
      </w:r>
      <w:r w:rsidRPr="007F04BC">
        <w:rPr>
          <w:rFonts w:cstheme="minorHAnsi"/>
          <w:i/>
          <w:iCs/>
        </w:rPr>
        <w:t>Türkiye</w:t>
      </w:r>
      <w:r w:rsidRPr="007F04BC">
        <w:rPr>
          <w:rFonts w:cstheme="minorHAnsi"/>
        </w:rPr>
        <w:t xml:space="preserve"> (no</w:t>
      </w:r>
      <w:r w:rsidR="000A15D9" w:rsidRPr="007F04BC">
        <w:rPr>
          <w:rFonts w:cstheme="minorHAnsi"/>
        </w:rPr>
        <w:t>.</w:t>
      </w:r>
      <w:r w:rsidRPr="007F04BC">
        <w:rPr>
          <w:rFonts w:cstheme="minorHAnsi"/>
        </w:rPr>
        <w:t xml:space="preserve"> 3), no</w:t>
      </w:r>
      <w:r w:rsidR="000A15D9" w:rsidRPr="007F04BC">
        <w:rPr>
          <w:rFonts w:cstheme="minorHAnsi"/>
        </w:rPr>
        <w:t>.</w:t>
      </w:r>
      <w:r w:rsidRPr="007F04BC">
        <w:rPr>
          <w:rFonts w:cstheme="minorHAnsi"/>
        </w:rPr>
        <w:t xml:space="preserve"> 8732/11, § 26, 9 Temmuz 2019; ayrıca </w:t>
      </w:r>
      <w:r w:rsidR="00D30CB9" w:rsidRPr="007F04BC">
        <w:rPr>
          <w:rFonts w:cstheme="minorHAnsi"/>
        </w:rPr>
        <w:t>bakınız</w:t>
      </w:r>
      <w:r w:rsidRPr="007F04BC">
        <w:rPr>
          <w:rFonts w:cstheme="minorHAnsi"/>
        </w:rPr>
        <w:t xml:space="preserve"> </w:t>
      </w:r>
      <w:r w:rsidRPr="007F04BC">
        <w:rPr>
          <w:rFonts w:cstheme="minorHAnsi"/>
          <w:i/>
          <w:iCs/>
        </w:rPr>
        <w:t>a contrario</w:t>
      </w:r>
      <w:r w:rsidR="000A15D9" w:rsidRPr="007F04BC">
        <w:rPr>
          <w:rFonts w:cstheme="minorHAnsi"/>
          <w:i/>
          <w:iCs/>
        </w:rPr>
        <w:t xml:space="preserve">, Otegi Mondragon v. </w:t>
      </w:r>
      <w:r w:rsidRPr="007F04BC">
        <w:rPr>
          <w:rFonts w:cstheme="minorHAnsi"/>
          <w:i/>
          <w:iCs/>
        </w:rPr>
        <w:t>İspanya</w:t>
      </w:r>
      <w:r w:rsidRPr="007F04BC">
        <w:rPr>
          <w:rFonts w:cstheme="minorHAnsi"/>
        </w:rPr>
        <w:t>, no</w:t>
      </w:r>
      <w:r w:rsidR="000A15D9" w:rsidRPr="007F04BC">
        <w:rPr>
          <w:rFonts w:cstheme="minorHAnsi"/>
        </w:rPr>
        <w:t>.</w:t>
      </w:r>
      <w:r w:rsidRPr="007F04BC">
        <w:rPr>
          <w:rFonts w:cstheme="minorHAnsi"/>
        </w:rPr>
        <w:t xml:space="preserve"> 2034/07, § 60, AİHM 2011).</w:t>
      </w:r>
    </w:p>
    <w:p w14:paraId="6B54CEE3" w14:textId="39EC8D71" w:rsidR="00F35DD8" w:rsidRPr="007F04BC" w:rsidRDefault="00F35DD8" w:rsidP="007F04BC">
      <w:pPr>
        <w:spacing w:line="276" w:lineRule="auto"/>
        <w:jc w:val="both"/>
        <w:rPr>
          <w:rFonts w:cstheme="minorHAnsi"/>
        </w:rPr>
      </w:pPr>
      <w:r w:rsidRPr="007F04BC">
        <w:rPr>
          <w:rFonts w:cstheme="minorHAnsi"/>
        </w:rPr>
        <w:t xml:space="preserve">42. Ardından, uyuşmazlık bulunan müdahalenin kanunla, yani Ceza Kanunu'nun 299. maddesiyle </w:t>
      </w:r>
      <w:r w:rsidR="00A35980" w:rsidRPr="007F04BC">
        <w:rPr>
          <w:rFonts w:cstheme="minorHAnsi"/>
        </w:rPr>
        <w:t>öngörülmüş</w:t>
      </w:r>
      <w:r w:rsidRPr="007F04BC">
        <w:rPr>
          <w:rFonts w:cstheme="minorHAnsi"/>
        </w:rPr>
        <w:t xml:space="preserve"> olmasının taraflar arasında ihtilaf teşkil etmediğinin altını çizmektedir (</w:t>
      </w:r>
      <w:r w:rsidR="00D30CB9" w:rsidRPr="007F04BC">
        <w:rPr>
          <w:rFonts w:cstheme="minorHAnsi"/>
        </w:rPr>
        <w:t>bakınız</w:t>
      </w:r>
      <w:r w:rsidRPr="007F04BC">
        <w:rPr>
          <w:rFonts w:cstheme="minorHAnsi"/>
        </w:rPr>
        <w:t xml:space="preserve"> yukarıdaki 14. paragraf). Ayrıca bu müdahalenin, başkalarının itibarını veya haklarını koruma amacını taşıdığı da kabul edebilir.</w:t>
      </w:r>
    </w:p>
    <w:p w14:paraId="067C4688" w14:textId="3A187885" w:rsidR="00F35DD8" w:rsidRPr="007F04BC" w:rsidRDefault="00F35DD8" w:rsidP="007F04BC">
      <w:pPr>
        <w:spacing w:line="276" w:lineRule="auto"/>
        <w:jc w:val="both"/>
        <w:rPr>
          <w:rFonts w:cstheme="minorHAnsi"/>
        </w:rPr>
      </w:pPr>
      <w:r w:rsidRPr="007F04BC">
        <w:rPr>
          <w:rFonts w:cstheme="minorHAnsi"/>
        </w:rPr>
        <w:t xml:space="preserve">43. Müdahalenin gerekliliğine ilişkin olarak, Mahkeme, yerel mahkemelerin, başvurucuyu mahkum etmek için, Cumhurbaşkanına “korunan diğer kişilerden” -Ceza Kanunu'nun 125. maddesinde öngörülen ortak hakaret rejimi tarafından korunmaktadır.-  daha yüksek düzeyde koruma sağlayan Ceza Kanunu'nun 299. maddesine dayandığını kaydetmiştir. Bu madde kapsamında, Cumhurbaşkanına yönelik karalayıcı ifadelerin yazarları için daha ciddi cezalar öngörülmektedir (Ceza Kanununun 125 ve 299. maddeler arasındaki karşılaştırma için </w:t>
      </w:r>
      <w:r w:rsidR="00D30CB9" w:rsidRPr="007F04BC">
        <w:rPr>
          <w:rFonts w:cstheme="minorHAnsi"/>
        </w:rPr>
        <w:t>bakınız</w:t>
      </w:r>
      <w:r w:rsidRPr="007F04BC">
        <w:rPr>
          <w:rFonts w:cstheme="minorHAnsi"/>
        </w:rPr>
        <w:t xml:space="preserve"> 13. ve 14. paragraflar). Bu bağlamda, özel bir suç yasasıyla artırılmış korumanın ilke olarak Sözleşme</w:t>
      </w:r>
      <w:r w:rsidR="00A35980" w:rsidRPr="007F04BC">
        <w:rPr>
          <w:rFonts w:cstheme="minorHAnsi"/>
        </w:rPr>
        <w:t>’</w:t>
      </w:r>
      <w:r w:rsidRPr="007F04BC">
        <w:rPr>
          <w:rFonts w:cstheme="minorHAnsi"/>
        </w:rPr>
        <w:t>nin ruhuna uygun olmadığının defalarca Mahkeme tarafından belirtildiği hatırlatılmıştır (</w:t>
      </w:r>
      <w:r w:rsidR="00A35980" w:rsidRPr="007F04BC">
        <w:rPr>
          <w:rFonts w:cstheme="minorHAnsi"/>
          <w:i/>
          <w:iCs/>
        </w:rPr>
        <w:t xml:space="preserve">Colombani ve Diğerleri v. </w:t>
      </w:r>
      <w:r w:rsidRPr="007F04BC">
        <w:rPr>
          <w:rFonts w:cstheme="minorHAnsi"/>
          <w:i/>
          <w:iCs/>
        </w:rPr>
        <w:t>Fransa</w:t>
      </w:r>
      <w:r w:rsidR="001F64A2" w:rsidRPr="007F04BC">
        <w:rPr>
          <w:rFonts w:cstheme="minorHAnsi"/>
        </w:rPr>
        <w:t xml:space="preserve">, no. 51279/99, </w:t>
      </w:r>
      <w:r w:rsidRPr="007F04BC">
        <w:rPr>
          <w:rFonts w:cstheme="minorHAnsi"/>
        </w:rPr>
        <w:t xml:space="preserve">§ 69, AİHM 2002-V, </w:t>
      </w:r>
      <w:r w:rsidRPr="007F04BC">
        <w:rPr>
          <w:rFonts w:cstheme="minorHAnsi"/>
          <w:i/>
          <w:iCs/>
        </w:rPr>
        <w:t>Otegi Mondragon</w:t>
      </w:r>
      <w:r w:rsidRPr="007F04BC">
        <w:rPr>
          <w:rFonts w:cstheme="minorHAnsi"/>
        </w:rPr>
        <w:t xml:space="preserve">, yukarıda anılan, § 55 ve </w:t>
      </w:r>
      <w:r w:rsidRPr="007F04BC">
        <w:rPr>
          <w:rFonts w:cstheme="minorHAnsi"/>
          <w:i/>
          <w:iCs/>
        </w:rPr>
        <w:t>Önal</w:t>
      </w:r>
      <w:r w:rsidRPr="007F04BC">
        <w:rPr>
          <w:rFonts w:cstheme="minorHAnsi"/>
        </w:rPr>
        <w:t xml:space="preserve"> (no 2), yukarıda anılan, § 40.). Ayrıca, </w:t>
      </w:r>
      <w:r w:rsidR="001F64A2" w:rsidRPr="007F04BC">
        <w:rPr>
          <w:rFonts w:cstheme="minorHAnsi"/>
        </w:rPr>
        <w:t>eski Ceza K</w:t>
      </w:r>
      <w:r w:rsidRPr="007F04BC">
        <w:rPr>
          <w:rFonts w:cstheme="minorHAnsi"/>
        </w:rPr>
        <w:t>anunu</w:t>
      </w:r>
      <w:r w:rsidR="001F64A2" w:rsidRPr="007F04BC">
        <w:rPr>
          <w:rFonts w:cstheme="minorHAnsi"/>
        </w:rPr>
        <w:t>’</w:t>
      </w:r>
      <w:r w:rsidRPr="007F04BC">
        <w:rPr>
          <w:rFonts w:cstheme="minorHAnsi"/>
        </w:rPr>
        <w:t xml:space="preserve">nun 158. maddesinin uygulanmasıyla Cumhurbaşkanına hakaretten cezai mahkûmiyeti ele alan </w:t>
      </w:r>
      <w:r w:rsidRPr="007F04BC">
        <w:rPr>
          <w:rFonts w:cstheme="minorHAnsi"/>
          <w:i/>
          <w:iCs/>
        </w:rPr>
        <w:t>Artun ve Güvener</w:t>
      </w:r>
      <w:r w:rsidR="001F64A2" w:rsidRPr="007F04BC">
        <w:rPr>
          <w:rFonts w:cstheme="minorHAnsi"/>
          <w:i/>
          <w:iCs/>
        </w:rPr>
        <w:t xml:space="preserve"> v. </w:t>
      </w:r>
      <w:r w:rsidRPr="007F04BC">
        <w:rPr>
          <w:rFonts w:cstheme="minorHAnsi"/>
          <w:i/>
          <w:iCs/>
        </w:rPr>
        <w:t>Türkiye</w:t>
      </w:r>
      <w:r w:rsidRPr="007F04BC">
        <w:rPr>
          <w:rFonts w:cstheme="minorHAnsi"/>
        </w:rPr>
        <w:t xml:space="preserve"> kararında  (no.75510/01, § 31, 26 Haziran 2007) olduğu gibi, bir devletin kendi devlet başkanının itibarını korumadaki çıkarı ile devlet başkanı hakkında bilgi verme ve görüş açıklama hakkı arasında bir ayrıcalık veya özel bir koruma verilmesini haklı kılamayacağına hükmedilmiştir. (</w:t>
      </w:r>
      <w:r w:rsidRPr="007F04BC">
        <w:rPr>
          <w:rFonts w:cstheme="minorHAnsi"/>
          <w:i/>
          <w:iCs/>
        </w:rPr>
        <w:t>Artun ve Güvener</w:t>
      </w:r>
      <w:r w:rsidRPr="007F04BC">
        <w:rPr>
          <w:rFonts w:cstheme="minorHAnsi"/>
        </w:rPr>
        <w:t xml:space="preserve">, yukarıda anılan, § 31, ve </w:t>
      </w:r>
      <w:r w:rsidRPr="007F04BC">
        <w:rPr>
          <w:rFonts w:cstheme="minorHAnsi"/>
          <w:i/>
          <w:iCs/>
        </w:rPr>
        <w:t>Önal</w:t>
      </w:r>
      <w:r w:rsidRPr="007F04BC">
        <w:rPr>
          <w:rFonts w:cstheme="minorHAnsi"/>
        </w:rPr>
        <w:t xml:space="preserve"> (no.2), yukarıda anılan, § 40; ayrıca </w:t>
      </w:r>
      <w:r w:rsidR="00D30CB9" w:rsidRPr="007F04BC">
        <w:rPr>
          <w:rFonts w:cstheme="minorHAnsi"/>
        </w:rPr>
        <w:t>bakınız</w:t>
      </w:r>
      <w:r w:rsidRPr="007F04BC">
        <w:rPr>
          <w:rFonts w:cstheme="minorHAnsi"/>
        </w:rPr>
        <w:t xml:space="preserve">, medeni hukuk davalarında Cumhurbaşkanının statüsünün aşırı korunmasıyla ilgili olarak, </w:t>
      </w:r>
      <w:r w:rsidR="000A6042" w:rsidRPr="007F04BC">
        <w:rPr>
          <w:rFonts w:cstheme="minorHAnsi"/>
          <w:i/>
          <w:iCs/>
        </w:rPr>
        <w:t xml:space="preserve">Pakdemirli v. </w:t>
      </w:r>
      <w:r w:rsidRPr="007F04BC">
        <w:rPr>
          <w:rFonts w:cstheme="minorHAnsi"/>
          <w:i/>
          <w:iCs/>
        </w:rPr>
        <w:t>Türkiye</w:t>
      </w:r>
      <w:r w:rsidR="000A6042" w:rsidRPr="007F04BC">
        <w:rPr>
          <w:rFonts w:cstheme="minorHAnsi"/>
        </w:rPr>
        <w:t>, no. 35839/</w:t>
      </w:r>
      <w:r w:rsidRPr="007F04BC">
        <w:rPr>
          <w:rFonts w:cstheme="minorHAnsi"/>
        </w:rPr>
        <w:t>97, § 52, 22 Şubat 2005) ve aksini savunmak günümüzün uygulaması ve siyasi anlayışlar ile bağdaştırılamaz (bu konuda Avrupa Konseyi organlarının metinlerine bakınız, yukarıdaki 16-19. paragraflar).</w:t>
      </w:r>
    </w:p>
    <w:p w14:paraId="702F8C7D" w14:textId="52C926CB" w:rsidR="00F35DD8" w:rsidRPr="007F04BC" w:rsidRDefault="00F35DD8" w:rsidP="007F04BC">
      <w:pPr>
        <w:spacing w:line="276" w:lineRule="auto"/>
        <w:jc w:val="both"/>
        <w:rPr>
          <w:rFonts w:cstheme="minorHAnsi"/>
        </w:rPr>
      </w:pPr>
      <w:r w:rsidRPr="007F04BC">
        <w:rPr>
          <w:rFonts w:cstheme="minorHAnsi"/>
        </w:rPr>
        <w:lastRenderedPageBreak/>
        <w:t xml:space="preserve">44. </w:t>
      </w:r>
      <w:r w:rsidR="000051B5" w:rsidRPr="007F04BC">
        <w:rPr>
          <w:rFonts w:cstheme="minorHAnsi"/>
        </w:rPr>
        <w:t xml:space="preserve">Özel olarak Cumhurbaşkanına hakaret suçu için öngörülen cezanın orantılığıyla alakalı olarak, devlet makamlarını temsil eden kişilerin  kurumsal kamu düzeni garantileri kapsamında yetkili mercilerce korunması tümüyle meşru bulunsa da,  Mahkeme, işgal ettikleri baskın konum tarafından bu mercilere cezai yaptırım yoluna başvurulmasının sınırlandırılmasını emrettiğini belirtmektedir. </w:t>
      </w:r>
      <w:r w:rsidRPr="007F04BC">
        <w:rPr>
          <w:rFonts w:cstheme="minorHAnsi"/>
        </w:rPr>
        <w:t xml:space="preserve">(yukarıda anılan </w:t>
      </w:r>
      <w:r w:rsidRPr="007F04BC">
        <w:rPr>
          <w:rFonts w:cstheme="minorHAnsi"/>
          <w:i/>
          <w:iCs/>
        </w:rPr>
        <w:t>Otegi Mondragon</w:t>
      </w:r>
      <w:r w:rsidR="00911C1B" w:rsidRPr="007F04BC">
        <w:rPr>
          <w:rFonts w:cstheme="minorHAnsi"/>
        </w:rPr>
        <w:t>, § 58). Bu bağlamda, 10. m</w:t>
      </w:r>
      <w:r w:rsidRPr="007F04BC">
        <w:rPr>
          <w:rFonts w:cstheme="minorHAnsi"/>
        </w:rPr>
        <w:t xml:space="preserve">adde ile korunan haklara yapılan bir müdahalenin orantılılığının, yetkililerin cezai yaptırım dışında </w:t>
      </w:r>
      <w:r w:rsidR="005F2054" w:rsidRPr="007F04BC">
        <w:rPr>
          <w:rFonts w:cstheme="minorHAnsi"/>
        </w:rPr>
        <w:t>hukuki</w:t>
      </w:r>
      <w:r w:rsidRPr="007F04BC">
        <w:rPr>
          <w:rFonts w:cstheme="minorHAnsi"/>
        </w:rPr>
        <w:t xml:space="preserve"> tedbirler içeren bir araç kullanıp kullanamayacaklarına bağlı olacağını hatırlatmaktadır (</w:t>
      </w:r>
      <w:r w:rsidR="00D30CB9" w:rsidRPr="007F04BC">
        <w:rPr>
          <w:rFonts w:cstheme="minorHAnsi"/>
        </w:rPr>
        <w:t>bakınız</w:t>
      </w:r>
      <w:r w:rsidRPr="007F04BC">
        <w:rPr>
          <w:rFonts w:cstheme="minorHAnsi"/>
        </w:rPr>
        <w:t xml:space="preserve"> </w:t>
      </w:r>
      <w:r w:rsidR="00D30CB9" w:rsidRPr="007F04BC">
        <w:rPr>
          <w:rFonts w:cstheme="minorHAnsi"/>
          <w:i/>
          <w:iCs/>
        </w:rPr>
        <w:t>kıyasen</w:t>
      </w:r>
      <w:r w:rsidRPr="007F04BC">
        <w:rPr>
          <w:rFonts w:cstheme="minorHAnsi"/>
        </w:rPr>
        <w:t xml:space="preserve">, </w:t>
      </w:r>
      <w:r w:rsidR="00911C1B" w:rsidRPr="007F04BC">
        <w:rPr>
          <w:rFonts w:cstheme="minorHAnsi"/>
          <w:i/>
          <w:iCs/>
        </w:rPr>
        <w:t xml:space="preserve">Raichinov v. </w:t>
      </w:r>
      <w:r w:rsidRPr="007F04BC">
        <w:rPr>
          <w:rFonts w:cstheme="minorHAnsi"/>
          <w:i/>
          <w:iCs/>
        </w:rPr>
        <w:t>Bulgaristan</w:t>
      </w:r>
      <w:r w:rsidRPr="007F04BC">
        <w:rPr>
          <w:rFonts w:cstheme="minorHAnsi"/>
        </w:rPr>
        <w:t>, no</w:t>
      </w:r>
      <w:r w:rsidR="00911C1B" w:rsidRPr="007F04BC">
        <w:rPr>
          <w:rFonts w:cstheme="minorHAnsi"/>
        </w:rPr>
        <w:t>.</w:t>
      </w:r>
      <w:r w:rsidRPr="007F04BC">
        <w:rPr>
          <w:rFonts w:cstheme="minorHAnsi"/>
        </w:rPr>
        <w:t xml:space="preserve"> 47579/99, § 50, 20 Nisan 2006; ayrıca </w:t>
      </w:r>
      <w:r w:rsidR="00D30CB9" w:rsidRPr="007F04BC">
        <w:rPr>
          <w:rFonts w:cstheme="minorHAnsi"/>
        </w:rPr>
        <w:t>bakınız</w:t>
      </w:r>
      <w:r w:rsidRPr="007F04BC">
        <w:rPr>
          <w:rFonts w:cstheme="minorHAnsi"/>
        </w:rPr>
        <w:t xml:space="preserve"> </w:t>
      </w:r>
      <w:r w:rsidR="00D30CB9" w:rsidRPr="007F04BC">
        <w:rPr>
          <w:rFonts w:cstheme="minorHAnsi"/>
          <w:i/>
          <w:iCs/>
        </w:rPr>
        <w:t>kıyasen</w:t>
      </w:r>
      <w:r w:rsidRPr="007F04BC">
        <w:rPr>
          <w:rFonts w:cstheme="minorHAnsi"/>
        </w:rPr>
        <w:t xml:space="preserve"> </w:t>
      </w:r>
      <w:r w:rsidR="00911C1B" w:rsidRPr="007F04BC">
        <w:rPr>
          <w:rFonts w:cstheme="minorHAnsi"/>
          <w:i/>
          <w:iCs/>
        </w:rPr>
        <w:t xml:space="preserve">Lehideux ve Isorni v. </w:t>
      </w:r>
      <w:r w:rsidRPr="007F04BC">
        <w:rPr>
          <w:rFonts w:cstheme="minorHAnsi"/>
          <w:i/>
          <w:iCs/>
        </w:rPr>
        <w:t>Fransa</w:t>
      </w:r>
      <w:r w:rsidRPr="007F04BC">
        <w:rPr>
          <w:rFonts w:cstheme="minorHAnsi"/>
        </w:rPr>
        <w:t xml:space="preserve">, 23 Eylül 1998, § 51, Raporlar 1998-VII ve </w:t>
      </w:r>
      <w:r w:rsidR="00911C1B" w:rsidRPr="007F04BC">
        <w:rPr>
          <w:rFonts w:cstheme="minorHAnsi"/>
          <w:i/>
          <w:iCs/>
        </w:rPr>
        <w:t xml:space="preserve">Cumpănă ve Mazăre v. </w:t>
      </w:r>
      <w:r w:rsidRPr="007F04BC">
        <w:rPr>
          <w:rFonts w:cstheme="minorHAnsi"/>
          <w:i/>
          <w:iCs/>
        </w:rPr>
        <w:t>Romanya</w:t>
      </w:r>
      <w:r w:rsidR="00911C1B" w:rsidRPr="007F04BC">
        <w:rPr>
          <w:rFonts w:cstheme="minorHAnsi"/>
        </w:rPr>
        <w:t xml:space="preserve"> [BD</w:t>
      </w:r>
      <w:r w:rsidRPr="007F04BC">
        <w:rPr>
          <w:rFonts w:cstheme="minorHAnsi"/>
        </w:rPr>
        <w:t>], no</w:t>
      </w:r>
      <w:r w:rsidR="00911C1B" w:rsidRPr="007F04BC">
        <w:rPr>
          <w:rFonts w:cstheme="minorHAnsi"/>
        </w:rPr>
        <w:t>.</w:t>
      </w:r>
      <w:r w:rsidRPr="007F04BC">
        <w:rPr>
          <w:rFonts w:cstheme="minorHAnsi"/>
        </w:rPr>
        <w:t xml:space="preserve"> 33348/96, § 115, AİHM 2004-XI). Gerçekten de, yaptırımı mümkün olduğunca en ılımlı olan ceza bile, örneğin basit bir -sembolik Euro- ödeme yükümlülüğü gibi (</w:t>
      </w:r>
      <w:r w:rsidR="006A14EE" w:rsidRPr="007F04BC">
        <w:rPr>
          <w:rFonts w:cstheme="minorHAnsi"/>
          <w:i/>
          <w:iCs/>
        </w:rPr>
        <w:t xml:space="preserve">Mor v. </w:t>
      </w:r>
      <w:r w:rsidRPr="007F04BC">
        <w:rPr>
          <w:rFonts w:cstheme="minorHAnsi"/>
          <w:i/>
          <w:iCs/>
        </w:rPr>
        <w:t>Fransa</w:t>
      </w:r>
      <w:r w:rsidRPr="007F04BC">
        <w:rPr>
          <w:rFonts w:cstheme="minorHAnsi"/>
        </w:rPr>
        <w:t>, no.</w:t>
      </w:r>
      <w:r w:rsidR="006A14EE" w:rsidRPr="007F04BC">
        <w:rPr>
          <w:rFonts w:cstheme="minorHAnsi"/>
        </w:rPr>
        <w:t xml:space="preserve"> </w:t>
      </w:r>
      <w:r w:rsidRPr="007F04BC">
        <w:rPr>
          <w:rFonts w:cstheme="minorHAnsi"/>
        </w:rPr>
        <w:t>28198/09, § 61, 15 Aralık 2011), yine de ce</w:t>
      </w:r>
      <w:r w:rsidR="006A14EE" w:rsidRPr="007F04BC">
        <w:rPr>
          <w:rFonts w:cstheme="minorHAnsi"/>
        </w:rPr>
        <w:t>zai bir yaptırım teşkil eder ve</w:t>
      </w:r>
      <w:r w:rsidRPr="007F04BC">
        <w:rPr>
          <w:rFonts w:cstheme="minorHAnsi"/>
        </w:rPr>
        <w:t xml:space="preserve"> her halükarda bu, ifade özgürlüğü hakkının kullanılmasına yapılan müdahalenin meşru amaç taşıdığına işaret etmez. (</w:t>
      </w:r>
      <w:r w:rsidR="006A14EE" w:rsidRPr="007F04BC">
        <w:rPr>
          <w:rFonts w:cstheme="minorHAnsi"/>
          <w:i/>
          <w:iCs/>
        </w:rPr>
        <w:t xml:space="preserve">Athanasios Makris v. </w:t>
      </w:r>
      <w:r w:rsidRPr="007F04BC">
        <w:rPr>
          <w:rFonts w:cstheme="minorHAnsi"/>
          <w:i/>
          <w:iCs/>
        </w:rPr>
        <w:t>Yunanistan</w:t>
      </w:r>
      <w:r w:rsidR="006A14EE" w:rsidRPr="007F04BC">
        <w:rPr>
          <w:rFonts w:cstheme="minorHAnsi"/>
        </w:rPr>
        <w:t>, no. 55135</w:t>
      </w:r>
      <w:r w:rsidRPr="007F04BC">
        <w:rPr>
          <w:rFonts w:cstheme="minorHAnsi"/>
        </w:rPr>
        <w:t>/10, § 38, 9 Mart 2017).</w:t>
      </w:r>
    </w:p>
    <w:p w14:paraId="4AC5C5C1" w14:textId="3F89BBEF" w:rsidR="00F35DD8" w:rsidRPr="007F04BC" w:rsidRDefault="00F35DD8" w:rsidP="007F04BC">
      <w:pPr>
        <w:spacing w:line="276" w:lineRule="auto"/>
        <w:jc w:val="both"/>
        <w:rPr>
          <w:rFonts w:cstheme="minorHAnsi"/>
        </w:rPr>
      </w:pPr>
      <w:r w:rsidRPr="007F04BC">
        <w:rPr>
          <w:rFonts w:cstheme="minorHAnsi"/>
        </w:rPr>
        <w:t>45. Yukarıda belirtilenler ışığında, Mahkeme, mevcut davada hiçbir koşulun, başvurucunun polis tarafından gözaltına alınmasını ve hakkında verilen tutukluluk kararını veya hükmün açıklanmasının geri bırakılması ile sonuçlanan ceza infazının uygulanmasını haklı kılacak nitelikte olmadığı kanaatindedir. Doğası gereği, böyle bir yaptırım, özellikle cezanın etkileri dikkate alındığında, ilgili kişinin kamu yararına ilişkin konularda kendini ifade etme istekliliği üzerinde kaçınılmaz olarak caydırıcı bir etkiye sahip olacaktır (</w:t>
      </w:r>
      <w:r w:rsidR="00D30CB9" w:rsidRPr="007F04BC">
        <w:rPr>
          <w:rFonts w:cstheme="minorHAnsi"/>
        </w:rPr>
        <w:t>bakınız</w:t>
      </w:r>
      <w:r w:rsidRPr="007F04BC">
        <w:rPr>
          <w:rFonts w:cstheme="minorHAnsi"/>
        </w:rPr>
        <w:t xml:space="preserve"> </w:t>
      </w:r>
      <w:r w:rsidRPr="007F04BC">
        <w:rPr>
          <w:rFonts w:cstheme="minorHAnsi"/>
          <w:i/>
          <w:iCs/>
        </w:rPr>
        <w:t>mutatis mutandis, Artun ve Güvener</w:t>
      </w:r>
      <w:r w:rsidRPr="007F04BC">
        <w:rPr>
          <w:rFonts w:cstheme="minorHAnsi"/>
        </w:rPr>
        <w:t xml:space="preserve">, yukarıda anılan, § 33; </w:t>
      </w:r>
      <w:r w:rsidR="006A14EE" w:rsidRPr="007F04BC">
        <w:rPr>
          <w:rFonts w:cstheme="minorHAnsi"/>
          <w:i/>
          <w:iCs/>
        </w:rPr>
        <w:t xml:space="preserve">Martchenko v. </w:t>
      </w:r>
      <w:r w:rsidRPr="007F04BC">
        <w:rPr>
          <w:rFonts w:cstheme="minorHAnsi"/>
          <w:i/>
          <w:iCs/>
        </w:rPr>
        <w:t>Ukrayna</w:t>
      </w:r>
      <w:r w:rsidRPr="007F04BC">
        <w:rPr>
          <w:rFonts w:cstheme="minorHAnsi"/>
        </w:rPr>
        <w:t>, no</w:t>
      </w:r>
      <w:r w:rsidR="006A14EE" w:rsidRPr="007F04BC">
        <w:rPr>
          <w:rFonts w:cstheme="minorHAnsi"/>
        </w:rPr>
        <w:t>.</w:t>
      </w:r>
      <w:r w:rsidRPr="007F04BC">
        <w:rPr>
          <w:rFonts w:cstheme="minorHAnsi"/>
        </w:rPr>
        <w:t xml:space="preserve"> 4063/04, § 52, 19 Şubat 2009 ve yukarıda anılan </w:t>
      </w:r>
      <w:r w:rsidRPr="007F04BC">
        <w:rPr>
          <w:rFonts w:cstheme="minorHAnsi"/>
          <w:i/>
          <w:iCs/>
        </w:rPr>
        <w:t>Otegi Mondragon</w:t>
      </w:r>
      <w:r w:rsidRPr="007F04BC">
        <w:rPr>
          <w:rFonts w:cstheme="minorHAnsi"/>
        </w:rPr>
        <w:t xml:space="preserve">, yukarıda anılan § 60, </w:t>
      </w:r>
      <w:r w:rsidRPr="007F04BC">
        <w:rPr>
          <w:rFonts w:cstheme="minorHAnsi"/>
          <w:i/>
          <w:iCs/>
        </w:rPr>
        <w:t>Dilipak</w:t>
      </w:r>
      <w:r w:rsidRPr="007F04BC">
        <w:rPr>
          <w:rFonts w:cstheme="minorHAnsi"/>
        </w:rPr>
        <w:t xml:space="preserve">, yukarıda anılan, § 70 ve </w:t>
      </w:r>
      <w:r w:rsidRPr="007F04BC">
        <w:rPr>
          <w:rFonts w:cstheme="minorHAnsi"/>
          <w:i/>
          <w:iCs/>
        </w:rPr>
        <w:t>Selahattin Demirtaş</w:t>
      </w:r>
      <w:r w:rsidRPr="007F04BC">
        <w:rPr>
          <w:rFonts w:cstheme="minorHAnsi"/>
        </w:rPr>
        <w:t xml:space="preserve"> (no 3), yukarıda anılan, § 26, </w:t>
      </w:r>
      <w:r w:rsidRPr="007F04BC">
        <w:rPr>
          <w:rFonts w:cstheme="minorHAnsi"/>
          <w:i/>
          <w:iCs/>
        </w:rPr>
        <w:t xml:space="preserve">Önal </w:t>
      </w:r>
      <w:r w:rsidRPr="007F04BC">
        <w:rPr>
          <w:rFonts w:cstheme="minorHAnsi"/>
        </w:rPr>
        <w:t xml:space="preserve">(no.2), yukarıda anılan, § 42 ve yukarıda anılan </w:t>
      </w:r>
      <w:r w:rsidRPr="007F04BC">
        <w:rPr>
          <w:rFonts w:cstheme="minorHAnsi"/>
          <w:i/>
          <w:iCs/>
        </w:rPr>
        <w:t>Dickinson,</w:t>
      </w:r>
      <w:r w:rsidRPr="007F04BC">
        <w:rPr>
          <w:rFonts w:cstheme="minorHAnsi"/>
        </w:rPr>
        <w:t xml:space="preserve"> § 58).</w:t>
      </w:r>
    </w:p>
    <w:p w14:paraId="62907B11" w14:textId="4A5FF628" w:rsidR="00F35DD8" w:rsidRPr="007F04BC" w:rsidRDefault="00F35DD8" w:rsidP="007F04BC">
      <w:pPr>
        <w:spacing w:line="276" w:lineRule="auto"/>
        <w:jc w:val="both"/>
        <w:rPr>
          <w:rFonts w:cstheme="minorHAnsi"/>
        </w:rPr>
      </w:pPr>
      <w:r w:rsidRPr="007F04BC">
        <w:rPr>
          <w:rFonts w:cstheme="minorHAnsi"/>
        </w:rPr>
        <w:t>46. Hükümet, bu dava bağlamında</w:t>
      </w:r>
      <w:r w:rsidR="009A470A" w:rsidRPr="007F04BC">
        <w:rPr>
          <w:rFonts w:cstheme="minorHAnsi"/>
        </w:rPr>
        <w:t>, Türkiye'nin Sözleşme'nin 15. m</w:t>
      </w:r>
      <w:r w:rsidRPr="007F04BC">
        <w:rPr>
          <w:rFonts w:cstheme="minorHAnsi"/>
        </w:rPr>
        <w:t>addesi uyarınca 21 Temmuz 2016'da Avrupa Konseyi Genel Sekreteri'ne sunduğu derogasyonun dikkate alınmasını talep etmiş olsa da (</w:t>
      </w:r>
      <w:r w:rsidR="00D30CB9" w:rsidRPr="007F04BC">
        <w:rPr>
          <w:rFonts w:cstheme="minorHAnsi"/>
        </w:rPr>
        <w:t>bakınız</w:t>
      </w:r>
      <w:r w:rsidRPr="007F04BC">
        <w:rPr>
          <w:rFonts w:cstheme="minorHAnsi"/>
        </w:rPr>
        <w:t xml:space="preserve"> derogasyon metni, </w:t>
      </w:r>
      <w:r w:rsidR="009A470A" w:rsidRPr="007F04BC">
        <w:rPr>
          <w:rFonts w:cstheme="minorHAnsi"/>
          <w:i/>
          <w:iCs/>
        </w:rPr>
        <w:t xml:space="preserve">Mehmet Hasan Altan v. </w:t>
      </w:r>
      <w:r w:rsidRPr="007F04BC">
        <w:rPr>
          <w:rFonts w:cstheme="minorHAnsi"/>
          <w:i/>
          <w:iCs/>
        </w:rPr>
        <w:t>Türkiye</w:t>
      </w:r>
      <w:r w:rsidRPr="007F04BC">
        <w:rPr>
          <w:rFonts w:cstheme="minorHAnsi"/>
        </w:rPr>
        <w:t xml:space="preserve">, no 13237/17, § 81, 20 Mart 2018), Mahkeme, Hükümet'in bu davada başvurucu aleyhine başlatılan ceza yargılamasının 15 Temmuz 2016 tarihli darbe girişiminin ardından ilan </w:t>
      </w:r>
      <w:r w:rsidRPr="007F04BC">
        <w:rPr>
          <w:rFonts w:cstheme="minorHAnsi"/>
        </w:rPr>
        <w:lastRenderedPageBreak/>
        <w:t>edilen olağanüstü hal sebebiyle gerekli olduğuna ilişkin hiçbir kanıt getiremediğini belirtmiştir.</w:t>
      </w:r>
    </w:p>
    <w:p w14:paraId="0C53C8C4" w14:textId="49334632" w:rsidR="00F35DD8" w:rsidRPr="007F04BC" w:rsidRDefault="00F35DD8" w:rsidP="007F04BC">
      <w:pPr>
        <w:spacing w:line="276" w:lineRule="auto"/>
        <w:jc w:val="both"/>
        <w:rPr>
          <w:rFonts w:cstheme="minorHAnsi"/>
        </w:rPr>
      </w:pPr>
      <w:r w:rsidRPr="007F04BC">
        <w:rPr>
          <w:rFonts w:cstheme="minorHAnsi"/>
        </w:rPr>
        <w:t xml:space="preserve">47. Sonuç olarak, Mahkeme, suç teşkil eden konularda Cumhurbaşkanına daha fazla koruma sağlayan özel bir hüküm kapsamında başvurucuya cezai bir yaptırım uygulanmasının Sözleşme’nin ruhuyla bağdaşmayacağını ifade etmektedir. Bu nedenle, Mahkeme, </w:t>
      </w:r>
      <w:r w:rsidR="008C67D8" w:rsidRPr="007F04BC">
        <w:rPr>
          <w:rFonts w:cstheme="minorHAnsi"/>
        </w:rPr>
        <w:t>şikâyet</w:t>
      </w:r>
      <w:r w:rsidRPr="007F04BC">
        <w:rPr>
          <w:rFonts w:cstheme="minorHAnsi"/>
        </w:rPr>
        <w:t>e konu olan tedbirin meşru amaçlarla orantılı olmadığı ve Sözleşme'nin 10. maddesi anlamında demokratik bir toplumda gerekli olma şartını karşılamadığı kanaatindedir.</w:t>
      </w:r>
    </w:p>
    <w:p w14:paraId="5E8E0398" w14:textId="77777777" w:rsidR="003C631C" w:rsidRPr="007F04BC" w:rsidRDefault="00F35DD8" w:rsidP="007F04BC">
      <w:pPr>
        <w:spacing w:line="276" w:lineRule="auto"/>
        <w:jc w:val="both"/>
        <w:rPr>
          <w:rFonts w:cstheme="minorHAnsi"/>
        </w:rPr>
      </w:pPr>
      <w:r w:rsidRPr="007F04BC">
        <w:rPr>
          <w:rFonts w:cstheme="minorHAnsi"/>
        </w:rPr>
        <w:t>48. Bu unsurlar, Mahkeme'nin davanın koşullarında Sözleşme'nin 10. maddesinin ihlal edildiği sonucuna varması için yeterlidir.</w:t>
      </w:r>
    </w:p>
    <w:p w14:paraId="5D2197FE" w14:textId="77777777" w:rsidR="003C631C" w:rsidRPr="007F04BC" w:rsidRDefault="003C631C" w:rsidP="007F04BC">
      <w:pPr>
        <w:spacing w:line="276" w:lineRule="auto"/>
        <w:jc w:val="both"/>
        <w:rPr>
          <w:rFonts w:cstheme="minorHAnsi"/>
        </w:rPr>
      </w:pPr>
    </w:p>
    <w:p w14:paraId="121A8549" w14:textId="5DABE8D7" w:rsidR="00F35DD8" w:rsidRPr="007F04BC" w:rsidRDefault="00D03C41" w:rsidP="007F04BC">
      <w:pPr>
        <w:spacing w:line="276" w:lineRule="auto"/>
        <w:jc w:val="both"/>
        <w:rPr>
          <w:rFonts w:cstheme="minorHAnsi"/>
        </w:rPr>
      </w:pPr>
      <w:r w:rsidRPr="007F04BC">
        <w:rPr>
          <w:rFonts w:cstheme="minorHAnsi"/>
        </w:rPr>
        <w:t>II.</w:t>
      </w:r>
      <w:r w:rsidR="00F35DD8" w:rsidRPr="007F04BC">
        <w:rPr>
          <w:rFonts w:cstheme="minorHAnsi"/>
        </w:rPr>
        <w:t xml:space="preserve">SÖZLEŞME’NİN 41. ve 46. MADDELERİNİN UYGULANMASI </w:t>
      </w:r>
    </w:p>
    <w:p w14:paraId="675EBD64" w14:textId="77777777" w:rsidR="003C631C" w:rsidRPr="007F04BC" w:rsidRDefault="003C631C" w:rsidP="007F04BC">
      <w:pPr>
        <w:spacing w:line="276" w:lineRule="auto"/>
        <w:jc w:val="both"/>
        <w:rPr>
          <w:rFonts w:cstheme="minorHAnsi"/>
        </w:rPr>
      </w:pPr>
    </w:p>
    <w:p w14:paraId="1E77F2F9" w14:textId="33C960D0" w:rsidR="00F35DD8" w:rsidRPr="007F04BC" w:rsidRDefault="00F35DD8" w:rsidP="007F04BC">
      <w:pPr>
        <w:spacing w:line="276" w:lineRule="auto"/>
        <w:jc w:val="both"/>
        <w:rPr>
          <w:rFonts w:cstheme="minorHAnsi"/>
        </w:rPr>
      </w:pPr>
      <w:r w:rsidRPr="007F04BC">
        <w:rPr>
          <w:rFonts w:cstheme="minorHAnsi"/>
        </w:rPr>
        <w:t xml:space="preserve">49. Sözleşme’nin 41. ve 46. maddeleri aşağıdaki gibi düzenlenmiştir: </w:t>
      </w:r>
    </w:p>
    <w:p w14:paraId="4F93E061" w14:textId="77777777" w:rsidR="003C631C" w:rsidRPr="007F04BC" w:rsidRDefault="003C631C" w:rsidP="007F04BC">
      <w:pPr>
        <w:spacing w:line="276" w:lineRule="auto"/>
        <w:jc w:val="both"/>
        <w:rPr>
          <w:rFonts w:cstheme="minorHAnsi"/>
        </w:rPr>
      </w:pPr>
    </w:p>
    <w:p w14:paraId="7AB10FCC" w14:textId="4791E2A2" w:rsidR="00F35DD8" w:rsidRPr="007F04BC" w:rsidRDefault="00F35DD8" w:rsidP="007F04BC">
      <w:pPr>
        <w:spacing w:line="276" w:lineRule="auto"/>
        <w:jc w:val="center"/>
        <w:rPr>
          <w:rFonts w:cstheme="minorHAnsi"/>
          <w:b/>
        </w:rPr>
      </w:pPr>
      <w:r w:rsidRPr="007F04BC">
        <w:rPr>
          <w:rFonts w:cstheme="minorHAnsi"/>
          <w:b/>
        </w:rPr>
        <w:t>Madde 41</w:t>
      </w:r>
    </w:p>
    <w:p w14:paraId="42B046E7" w14:textId="77777777" w:rsidR="009A470A" w:rsidRPr="007F04BC" w:rsidRDefault="009A470A" w:rsidP="007F04BC">
      <w:pPr>
        <w:spacing w:line="276" w:lineRule="auto"/>
        <w:jc w:val="both"/>
        <w:rPr>
          <w:rFonts w:cstheme="minorHAnsi"/>
        </w:rPr>
      </w:pPr>
    </w:p>
    <w:p w14:paraId="75B8010A" w14:textId="15A27E60" w:rsidR="00F35DD8" w:rsidRPr="007F04BC" w:rsidRDefault="00F35DD8" w:rsidP="007F04BC">
      <w:pPr>
        <w:spacing w:line="276" w:lineRule="auto"/>
        <w:jc w:val="both"/>
        <w:rPr>
          <w:rFonts w:cstheme="minorHAnsi"/>
        </w:rPr>
      </w:pPr>
      <w:r w:rsidRPr="007F04BC">
        <w:rPr>
          <w:rFonts w:cstheme="minorHAnsi"/>
        </w:rPr>
        <w:t>“Şayet Mahkeme, işbu Sözleşme ve Protokollerinin ihlal edildiğine karar verirse ve ilgili Yüksek Sözleşmeci Taraf’ın iç hukuku bu ihlalin sonuçlarını ancak kısmen ortadan kaldırabiliyorsa, Mahkeme, gerektiği takdirde, zarar gören taraf lehine adil bir tazmin verilmesine hükmeder. ”</w:t>
      </w:r>
    </w:p>
    <w:p w14:paraId="15D6DB01" w14:textId="77777777" w:rsidR="009A470A" w:rsidRPr="007F04BC" w:rsidRDefault="009A470A" w:rsidP="007F04BC">
      <w:pPr>
        <w:spacing w:line="276" w:lineRule="auto"/>
        <w:jc w:val="both"/>
        <w:rPr>
          <w:rFonts w:cstheme="minorHAnsi"/>
        </w:rPr>
      </w:pPr>
    </w:p>
    <w:p w14:paraId="2F0CC742" w14:textId="2B79179C" w:rsidR="00F35DD8" w:rsidRPr="007F04BC" w:rsidRDefault="00F35DD8" w:rsidP="007F04BC">
      <w:pPr>
        <w:spacing w:line="276" w:lineRule="auto"/>
        <w:jc w:val="center"/>
        <w:rPr>
          <w:rFonts w:cstheme="minorHAnsi"/>
          <w:b/>
        </w:rPr>
      </w:pPr>
      <w:r w:rsidRPr="007F04BC">
        <w:rPr>
          <w:rFonts w:cstheme="minorHAnsi"/>
          <w:b/>
        </w:rPr>
        <w:t>Madde 46</w:t>
      </w:r>
    </w:p>
    <w:p w14:paraId="5F8B8506" w14:textId="77777777" w:rsidR="009A470A" w:rsidRPr="007F04BC" w:rsidRDefault="009A470A" w:rsidP="007F04BC">
      <w:pPr>
        <w:spacing w:line="276" w:lineRule="auto"/>
        <w:jc w:val="both"/>
        <w:rPr>
          <w:rFonts w:cstheme="minorHAnsi"/>
        </w:rPr>
      </w:pPr>
    </w:p>
    <w:p w14:paraId="1844F4BD" w14:textId="77777777" w:rsidR="00F35DD8" w:rsidRPr="007F04BC" w:rsidRDefault="00F35DD8" w:rsidP="007F04BC">
      <w:pPr>
        <w:spacing w:line="276" w:lineRule="auto"/>
        <w:jc w:val="both"/>
        <w:rPr>
          <w:rFonts w:cstheme="minorHAnsi"/>
        </w:rPr>
      </w:pPr>
      <w:r w:rsidRPr="007F04BC">
        <w:rPr>
          <w:rFonts w:cstheme="minorHAnsi"/>
        </w:rPr>
        <w:t>“1. Yüksek Sözleşmeci Taraflar, taraf oldukları davalarda Mahkeme’nin verdiği kesinleşmiş kararlara uymayı taahhüt ederler.</w:t>
      </w:r>
    </w:p>
    <w:p w14:paraId="286DAE42" w14:textId="77777777" w:rsidR="00F35DD8" w:rsidRPr="007F04BC" w:rsidRDefault="00F35DD8" w:rsidP="007F04BC">
      <w:pPr>
        <w:spacing w:line="276" w:lineRule="auto"/>
        <w:jc w:val="both"/>
        <w:rPr>
          <w:rFonts w:cstheme="minorHAnsi"/>
        </w:rPr>
      </w:pPr>
      <w:r w:rsidRPr="007F04BC">
        <w:rPr>
          <w:rFonts w:cstheme="minorHAnsi"/>
        </w:rPr>
        <w:t>2. Mahkeme’nin kesinleşen kararı, infazını denetleyecek olan Bakanlar Komitesi’ne</w:t>
      </w:r>
    </w:p>
    <w:p w14:paraId="12C2EB47" w14:textId="538EAAF5" w:rsidR="00F35DD8" w:rsidRPr="007F04BC" w:rsidRDefault="00F35DD8" w:rsidP="007F04BC">
      <w:pPr>
        <w:spacing w:line="276" w:lineRule="auto"/>
        <w:jc w:val="both"/>
        <w:rPr>
          <w:rFonts w:cstheme="minorHAnsi"/>
        </w:rPr>
      </w:pPr>
      <w:r w:rsidRPr="007F04BC">
        <w:rPr>
          <w:rFonts w:cstheme="minorHAnsi"/>
        </w:rPr>
        <w:t>gönderilir.”</w:t>
      </w:r>
    </w:p>
    <w:p w14:paraId="2341608F" w14:textId="77777777" w:rsidR="001B46F8" w:rsidRPr="007F04BC" w:rsidRDefault="001B46F8" w:rsidP="007F04BC">
      <w:pPr>
        <w:spacing w:line="276" w:lineRule="auto"/>
        <w:jc w:val="both"/>
        <w:rPr>
          <w:rFonts w:cstheme="minorHAnsi"/>
        </w:rPr>
      </w:pPr>
      <w:bookmarkStart w:id="26" w:name="_GoBack"/>
      <w:bookmarkEnd w:id="26"/>
    </w:p>
    <w:p w14:paraId="5AC8B957" w14:textId="77777777" w:rsidR="00F35DD8" w:rsidRPr="007F04BC" w:rsidRDefault="00F35DD8" w:rsidP="007F04BC">
      <w:pPr>
        <w:spacing w:line="276" w:lineRule="auto"/>
        <w:jc w:val="both"/>
        <w:rPr>
          <w:rFonts w:cstheme="minorHAnsi"/>
        </w:rPr>
      </w:pPr>
      <w:r w:rsidRPr="007F04BC">
        <w:rPr>
          <w:rFonts w:cstheme="minorHAnsi"/>
        </w:rPr>
        <w:t xml:space="preserve">50. Başvurucu, maruz kaldığı kanaatine vardığı manevi zararı için 20.000 Euro talep etmiştir. Başvurucu ayrıca, Türkiye Barolar Birliği ücret tarifesini sunarak avukatlık ücreti olarak 10.915 TL (söz konusu tarihte yaklaşık olarak 1,141 Euro) talep etmiştir. Ayrıca, masraf ve giderlerin doğruluğunun, gerekliliğinin ve makullüğünün avukatı tarafından ortaya konulduğunu belirterek, çeviri ve posta masrafları için 1,250 TL (söz konusu tarihte yaklaşık olarak 125 Euro) istemiştir. </w:t>
      </w:r>
    </w:p>
    <w:p w14:paraId="617B216F" w14:textId="77777777" w:rsidR="00F35DD8" w:rsidRPr="007F04BC" w:rsidRDefault="00F35DD8" w:rsidP="007F04BC">
      <w:pPr>
        <w:spacing w:line="276" w:lineRule="auto"/>
        <w:jc w:val="both"/>
        <w:rPr>
          <w:rFonts w:cstheme="minorHAnsi"/>
        </w:rPr>
      </w:pPr>
      <w:r w:rsidRPr="007F04BC">
        <w:rPr>
          <w:rFonts w:cstheme="minorHAnsi"/>
        </w:rPr>
        <w:lastRenderedPageBreak/>
        <w:t xml:space="preserve">51. Hükümet, manevi tazminat talebi ile ihlal iddiası arasında herhangi bir illiyet bağı olmadığını ve tazminat talebinin Mahkeme içtihadına göre aşırı olduğunu ve yeterince belirtilmediğini iddia etmiştir. Hükümet ayrıca, başvurucunun masraf ve gider taleplerini destekleyecek ikna edici bir belge sunamadığını, bu konuda talep edilen miktarın desteklenmediğini ve yargılamanın karmaşıklığı göz önüne alındığında çok yüksek olduğunu ve de avukat ücreti için sunulan talebin gerçeği yansıtmadığını, zira bu ücretin benzer süreçlere kıyasla yüksek olduğunu belirtmiştir.  </w:t>
      </w:r>
    </w:p>
    <w:p w14:paraId="4BBE8F91" w14:textId="77777777" w:rsidR="00F35DD8" w:rsidRPr="007F04BC" w:rsidRDefault="00F35DD8" w:rsidP="007F04BC">
      <w:pPr>
        <w:spacing w:line="276" w:lineRule="auto"/>
        <w:jc w:val="both"/>
        <w:rPr>
          <w:rFonts w:cstheme="minorHAnsi"/>
        </w:rPr>
      </w:pPr>
      <w:r w:rsidRPr="007F04BC">
        <w:rPr>
          <w:rFonts w:cstheme="minorHAnsi"/>
        </w:rPr>
        <w:t>52. Mahkeme, tespit ettiği Sözleşme ihlalinin, başvurucuya belirli ve ciddi bir zarar verdiği kanaatine varmıştır. Davanın koşulları uyarınca Mahkeme, başvurucuya ödenmesi gereken her türlü vergi tutarı hariç olmak üzere, manevi tazminat olarak 7,500 Euro ödenmesinin uygun olduğuna karar vermiştir. Mahkeme, elinde bulunan belgeleri ve içtihadını dikkate alarak, başvurucunun masraf ve giderler ile ilgili talebini başvurucu tarafından bu talebini destekleyecek delil sunulmadığı gerekçesiyle reddetmiştir.</w:t>
      </w:r>
    </w:p>
    <w:p w14:paraId="68968B42" w14:textId="77777777" w:rsidR="00F35DD8" w:rsidRPr="007F04BC" w:rsidRDefault="00F35DD8" w:rsidP="007F04BC">
      <w:pPr>
        <w:spacing w:line="276" w:lineRule="auto"/>
        <w:jc w:val="both"/>
        <w:rPr>
          <w:rFonts w:cstheme="minorHAnsi"/>
        </w:rPr>
      </w:pPr>
      <w:r w:rsidRPr="007F04BC">
        <w:rPr>
          <w:rFonts w:cstheme="minorHAnsi"/>
        </w:rPr>
        <w:t>53. Mahkeme, gecikme faizi olarak, bu miktarlara, Avrupa Merkez Bankası’nın marjinal kredi faizlerine uyguladığı faiz oranına üç puan eklenerek elde edilecek oranın, uygulanmasının uygun olduğu sonucuna varmaktadır.</w:t>
      </w:r>
    </w:p>
    <w:p w14:paraId="72695E28" w14:textId="5FE04403" w:rsidR="00F35DD8" w:rsidRPr="007F04BC" w:rsidRDefault="00F35DD8" w:rsidP="007F04BC">
      <w:pPr>
        <w:spacing w:line="276" w:lineRule="auto"/>
        <w:jc w:val="both"/>
        <w:rPr>
          <w:rFonts w:cstheme="minorHAnsi"/>
        </w:rPr>
      </w:pPr>
      <w:r w:rsidRPr="007F04BC">
        <w:rPr>
          <w:rFonts w:cstheme="minorHAnsi"/>
        </w:rPr>
        <w:t>54. Ayrıca Mahkeme, söz konusu davada Türk Ceza Kanunu’nun 299. maddesinin uygulanması nedeniyle başlatılan ceza yargılamalarının ifade özgürlüğü ile bağdaşmadığına karar verdiğini gözlemlemektedir. (bakınız yukarıda yer alan 47 ve 48. paragraflar)</w:t>
      </w:r>
      <w:r w:rsidR="00626A70" w:rsidRPr="007F04BC">
        <w:rPr>
          <w:rFonts w:cstheme="minorHAnsi"/>
        </w:rPr>
        <w:t xml:space="preserve"> </w:t>
      </w:r>
      <w:r w:rsidR="00626A70" w:rsidRPr="007F04BC">
        <w:rPr>
          <w:rFonts w:cstheme="minorHAnsi"/>
        </w:rPr>
        <w:t>Mahkeme, özellikle, özel bir suç yasasıyla artırılmış korumanın ilke olarak Sözleşme’nin ruhuna uygun olmadığını</w:t>
      </w:r>
      <w:r w:rsidR="00626A70" w:rsidRPr="007F04BC">
        <w:rPr>
          <w:rFonts w:cstheme="minorHAnsi"/>
        </w:rPr>
        <w:t>n</w:t>
      </w:r>
      <w:r w:rsidR="00626A70" w:rsidRPr="007F04BC">
        <w:rPr>
          <w:rFonts w:cstheme="minorHAnsi"/>
        </w:rPr>
        <w:t xml:space="preserve"> ve bir devletin kendi devlet başkanının itibarını korumadaki çıkarı ile devlet başkanı hakkında bilgi verme ve görüş açıklama hakkı arasında bir ayrıcalık veya özel bir koruma verilmesini haklı kılamayacağın</w:t>
      </w:r>
      <w:r w:rsidR="00626A70" w:rsidRPr="007F04BC">
        <w:rPr>
          <w:rFonts w:cstheme="minorHAnsi"/>
        </w:rPr>
        <w:t>ın altınız çizmektedir.</w:t>
      </w:r>
      <w:r w:rsidR="00626A70" w:rsidRPr="007F04BC">
        <w:rPr>
          <w:rFonts w:cstheme="minorHAnsi"/>
        </w:rPr>
        <w:t xml:space="preserve"> (bakınız yukarıda yer alan 43. paragraf)</w:t>
      </w:r>
      <w:r w:rsidR="00626A70" w:rsidRPr="007F04BC">
        <w:rPr>
          <w:rFonts w:cstheme="minorHAnsi"/>
        </w:rPr>
        <w:t xml:space="preserve"> </w:t>
      </w:r>
      <w:r w:rsidRPr="007F04BC">
        <w:rPr>
          <w:rFonts w:cstheme="minorHAnsi"/>
        </w:rPr>
        <w:t xml:space="preserve">Varılan bu sonuçlar, başvurucunun Sözleşme’nin 10. maddesinde güvence altına alınan haklarının ihlalinin söz konusu hükmün kaleme alınışı ve uygulanmasıyla ilgili bir sorundan kaynaklandığını göstermektedir. Bu konuyla ilgili olarak Mahkeme, ilgili iç hukuk ile Sözleşme’nin yukarıda belirtilen hükmüne uygun hale getirilmesinin tespit edilen ihlale son verilmesini mümkün kılan uygun bir telafi yöntemi oluşturacağı kanaatine varmaktadır. (benzer bir yaklaşım için bakınız </w:t>
      </w:r>
      <w:r w:rsidRPr="007F04BC">
        <w:rPr>
          <w:rFonts w:cstheme="minorHAnsi"/>
          <w:i/>
        </w:rPr>
        <w:t>Gözel ve Özer v. Türkiye</w:t>
      </w:r>
      <w:r w:rsidRPr="007F04BC">
        <w:rPr>
          <w:rFonts w:cstheme="minorHAnsi"/>
        </w:rPr>
        <w:t xml:space="preserve">, no. 43453/04 ve 31098/05, </w:t>
      </w:r>
      <w:r w:rsidR="001B46F8" w:rsidRPr="007F04BC">
        <w:rPr>
          <w:rFonts w:cstheme="minorHAnsi"/>
        </w:rPr>
        <w:t xml:space="preserve">§ </w:t>
      </w:r>
      <w:r w:rsidRPr="007F04BC">
        <w:rPr>
          <w:rFonts w:cstheme="minorHAnsi"/>
        </w:rPr>
        <w:t xml:space="preserve">76, 6 Temmuz 2010 ve </w:t>
      </w:r>
      <w:r w:rsidRPr="007F04BC">
        <w:rPr>
          <w:rFonts w:cstheme="minorHAnsi"/>
          <w:i/>
        </w:rPr>
        <w:t>Fatih Taş v. Türkiye</w:t>
      </w:r>
      <w:r w:rsidRPr="007F04BC">
        <w:rPr>
          <w:rFonts w:cstheme="minorHAnsi"/>
        </w:rPr>
        <w:t xml:space="preserve"> (no 5), no</w:t>
      </w:r>
      <w:r w:rsidR="001B46F8" w:rsidRPr="007F04BC">
        <w:rPr>
          <w:rFonts w:cstheme="minorHAnsi"/>
        </w:rPr>
        <w:t>.</w:t>
      </w:r>
      <w:r w:rsidRPr="007F04BC">
        <w:rPr>
          <w:rFonts w:cstheme="minorHAnsi"/>
        </w:rPr>
        <w:t xml:space="preserve"> 6810/09, </w:t>
      </w:r>
      <w:r w:rsidR="001B46F8" w:rsidRPr="007F04BC">
        <w:rPr>
          <w:rFonts w:cstheme="minorHAnsi"/>
        </w:rPr>
        <w:t xml:space="preserve">§ </w:t>
      </w:r>
      <w:r w:rsidRPr="007F04BC">
        <w:rPr>
          <w:rFonts w:cstheme="minorHAnsi"/>
        </w:rPr>
        <w:t>45, 4 Eylül 2018).</w:t>
      </w:r>
    </w:p>
    <w:p w14:paraId="4F4E160C" w14:textId="77777777" w:rsidR="00F35DD8" w:rsidRPr="007F04BC" w:rsidRDefault="00F35DD8" w:rsidP="007F04BC">
      <w:pPr>
        <w:autoSpaceDE w:val="0"/>
        <w:autoSpaceDN w:val="0"/>
        <w:adjustRightInd w:val="0"/>
        <w:spacing w:line="276" w:lineRule="auto"/>
        <w:jc w:val="both"/>
        <w:rPr>
          <w:rFonts w:cstheme="minorHAnsi"/>
        </w:rPr>
      </w:pPr>
      <w:r w:rsidRPr="007F04BC">
        <w:rPr>
          <w:rFonts w:cstheme="minorHAnsi"/>
        </w:rPr>
        <w:t xml:space="preserve"> </w:t>
      </w:r>
    </w:p>
    <w:p w14:paraId="01B0AB65" w14:textId="0983EA74" w:rsidR="00F35DD8" w:rsidRPr="007F04BC" w:rsidRDefault="00F35DD8" w:rsidP="007F04BC">
      <w:pPr>
        <w:spacing w:line="276" w:lineRule="auto"/>
        <w:jc w:val="both"/>
        <w:rPr>
          <w:rFonts w:cstheme="minorHAnsi"/>
        </w:rPr>
      </w:pPr>
      <w:r w:rsidRPr="007F04BC">
        <w:rPr>
          <w:rFonts w:cstheme="minorHAnsi"/>
        </w:rPr>
        <w:lastRenderedPageBreak/>
        <w:t>BU GEREKÇELERLE, MAHKEME, OY BİRLİĞİYLE,</w:t>
      </w:r>
    </w:p>
    <w:p w14:paraId="24C60B55" w14:textId="77777777" w:rsidR="003C631C" w:rsidRPr="007F04BC" w:rsidRDefault="003C631C" w:rsidP="007F04BC">
      <w:pPr>
        <w:spacing w:line="276" w:lineRule="auto"/>
        <w:jc w:val="both"/>
        <w:rPr>
          <w:rFonts w:cstheme="minorHAnsi"/>
        </w:rPr>
      </w:pPr>
    </w:p>
    <w:p w14:paraId="71ABFDC8" w14:textId="77777777" w:rsidR="00F35DD8" w:rsidRPr="007F04BC" w:rsidRDefault="00F35DD8" w:rsidP="007F04BC">
      <w:pPr>
        <w:spacing w:line="276" w:lineRule="auto"/>
        <w:jc w:val="both"/>
        <w:rPr>
          <w:rFonts w:cstheme="minorHAnsi"/>
        </w:rPr>
      </w:pPr>
      <w:r w:rsidRPr="007F04BC">
        <w:rPr>
          <w:rFonts w:cstheme="minorHAnsi"/>
        </w:rPr>
        <w:t>1.  Başvurunun kabul edilebilir olduğuna;</w:t>
      </w:r>
    </w:p>
    <w:p w14:paraId="6E33D56C" w14:textId="77777777" w:rsidR="00F35DD8" w:rsidRPr="007F04BC" w:rsidRDefault="00F35DD8" w:rsidP="007F04BC">
      <w:pPr>
        <w:spacing w:line="276" w:lineRule="auto"/>
        <w:jc w:val="both"/>
        <w:rPr>
          <w:rFonts w:cstheme="minorHAnsi"/>
        </w:rPr>
      </w:pPr>
      <w:r w:rsidRPr="007F04BC">
        <w:rPr>
          <w:rFonts w:cstheme="minorHAnsi"/>
        </w:rPr>
        <w:t>2.  Sözleşme’nin 10. maddesinin ihlal edildiğine;</w:t>
      </w:r>
    </w:p>
    <w:p w14:paraId="558F7310" w14:textId="77777777" w:rsidR="00F35DD8" w:rsidRPr="007F04BC" w:rsidRDefault="00F35DD8" w:rsidP="007F04BC">
      <w:pPr>
        <w:pStyle w:val="scf37f339"/>
        <w:shd w:val="clear" w:color="auto" w:fill="FFFFFF"/>
        <w:spacing w:before="0" w:beforeAutospacing="0" w:after="0" w:afterAutospacing="0" w:line="276" w:lineRule="auto"/>
        <w:ind w:left="340" w:hanging="340"/>
        <w:jc w:val="both"/>
        <w:rPr>
          <w:rStyle w:val="sb8d990e2"/>
          <w:rFonts w:asciiTheme="minorHAnsi" w:hAnsiTheme="minorHAnsi" w:cstheme="minorHAnsi"/>
          <w:color w:val="000000"/>
        </w:rPr>
      </w:pPr>
      <w:r w:rsidRPr="007F04BC">
        <w:rPr>
          <w:rStyle w:val="sb8d990e2"/>
          <w:rFonts w:asciiTheme="minorHAnsi" w:hAnsiTheme="minorHAnsi" w:cstheme="minorHAnsi"/>
          <w:color w:val="000000"/>
        </w:rPr>
        <w:t xml:space="preserve">3. </w:t>
      </w:r>
    </w:p>
    <w:p w14:paraId="7B3E1D20" w14:textId="77777777" w:rsidR="00F35DD8" w:rsidRPr="007F04BC" w:rsidRDefault="00F35DD8" w:rsidP="007F04BC">
      <w:pPr>
        <w:pStyle w:val="scf37f339"/>
        <w:shd w:val="clear" w:color="auto" w:fill="FFFFFF"/>
        <w:spacing w:before="0" w:beforeAutospacing="0" w:after="0" w:afterAutospacing="0" w:line="276" w:lineRule="auto"/>
        <w:ind w:left="340" w:hanging="340"/>
        <w:jc w:val="both"/>
        <w:rPr>
          <w:rStyle w:val="sb8d990e2"/>
          <w:rFonts w:asciiTheme="minorHAnsi" w:hAnsiTheme="minorHAnsi" w:cstheme="minorHAnsi"/>
          <w:color w:val="000000"/>
        </w:rPr>
      </w:pPr>
      <w:r w:rsidRPr="007F04BC">
        <w:rPr>
          <w:rStyle w:val="sb8d990e2"/>
          <w:rFonts w:asciiTheme="minorHAnsi" w:hAnsiTheme="minorHAnsi" w:cstheme="minorHAnsi"/>
          <w:color w:val="000000"/>
        </w:rPr>
        <w:t>a) Davalı Devlet tarafından başvurucuya, Sözleşme’nin 44. maddesinin 2. fıkrası uyarınca, kararın kesinleştiği tarihten itibaren üç ay içerisinde, ödeme tarihindeki geçerli döviz kuru üzerinden Türk lirasına çevrilmek üzere, ödenmesi gereken her türlü vergi tutarı hariç olmak üzere, 7,500 Euro ödenmesine;</w:t>
      </w:r>
    </w:p>
    <w:p w14:paraId="18F05F8B" w14:textId="77777777" w:rsidR="00F35DD8" w:rsidRPr="007F04BC" w:rsidRDefault="00F35DD8" w:rsidP="007F04BC">
      <w:pPr>
        <w:pStyle w:val="scf37f339"/>
        <w:shd w:val="clear" w:color="auto" w:fill="FFFFFF"/>
        <w:spacing w:before="0" w:beforeAutospacing="0" w:after="0" w:afterAutospacing="0" w:line="276" w:lineRule="auto"/>
        <w:ind w:left="340" w:hanging="340"/>
        <w:jc w:val="both"/>
        <w:rPr>
          <w:rFonts w:asciiTheme="minorHAnsi" w:hAnsiTheme="minorHAnsi" w:cstheme="minorHAnsi"/>
          <w:color w:val="000000"/>
        </w:rPr>
      </w:pPr>
      <w:r w:rsidRPr="007F04BC">
        <w:rPr>
          <w:rStyle w:val="sb8d990e2"/>
          <w:rFonts w:asciiTheme="minorHAnsi" w:hAnsiTheme="minorHAnsi" w:cstheme="minorHAnsi"/>
          <w:color w:val="000000"/>
        </w:rPr>
        <w:t>b) Söz konusu sürenin bittiği tarihten itibaren ödeme tarihine kadar, bu meblağlara Avrupa Merkez Bankasının o dönem için geçerli olan marjinal kredi faiz oranının üç puan fazlasına eşit oranda basit faiz uygulanmasına,</w:t>
      </w:r>
    </w:p>
    <w:p w14:paraId="588E2858" w14:textId="77777777" w:rsidR="00F35DD8" w:rsidRPr="007F04BC" w:rsidRDefault="00F35DD8" w:rsidP="007F04BC">
      <w:pPr>
        <w:pStyle w:val="sf943e873"/>
        <w:shd w:val="clear" w:color="auto" w:fill="FFFFFF"/>
        <w:spacing w:before="280" w:beforeAutospacing="0" w:after="60" w:afterAutospacing="0" w:line="276" w:lineRule="auto"/>
        <w:jc w:val="both"/>
        <w:rPr>
          <w:rFonts w:asciiTheme="minorHAnsi" w:hAnsiTheme="minorHAnsi" w:cstheme="minorHAnsi"/>
          <w:color w:val="000000"/>
        </w:rPr>
      </w:pPr>
      <w:r w:rsidRPr="007F04BC">
        <w:rPr>
          <w:rStyle w:val="sb8d990e2"/>
          <w:rFonts w:asciiTheme="minorHAnsi" w:hAnsiTheme="minorHAnsi" w:cstheme="minorHAnsi"/>
          <w:color w:val="000000"/>
        </w:rPr>
        <w:t>4.  Adil tazmine ilişkin kalan taleplerin reddine </w:t>
      </w:r>
      <w:r w:rsidRPr="007F04BC">
        <w:rPr>
          <w:rStyle w:val="s6b621b36"/>
          <w:rFonts w:asciiTheme="minorHAnsi" w:hAnsiTheme="minorHAnsi" w:cstheme="minorHAnsi"/>
          <w:i/>
          <w:iCs/>
          <w:color w:val="000000"/>
        </w:rPr>
        <w:t>karar vermiştir.</w:t>
      </w:r>
    </w:p>
    <w:p w14:paraId="60AE916E" w14:textId="77777777" w:rsidR="00F35DD8" w:rsidRPr="007F04BC" w:rsidRDefault="00F35DD8" w:rsidP="007F04BC">
      <w:pPr>
        <w:pStyle w:val="s4da71036"/>
        <w:shd w:val="clear" w:color="auto" w:fill="FFFFFF"/>
        <w:spacing w:before="240" w:beforeAutospacing="0" w:after="240" w:afterAutospacing="0" w:line="276" w:lineRule="auto"/>
        <w:ind w:firstLine="284"/>
        <w:jc w:val="both"/>
        <w:rPr>
          <w:rStyle w:val="sb8d990e2"/>
          <w:rFonts w:asciiTheme="minorHAnsi" w:hAnsiTheme="minorHAnsi" w:cstheme="minorHAnsi"/>
          <w:color w:val="000000"/>
        </w:rPr>
      </w:pPr>
      <w:r w:rsidRPr="007F04BC">
        <w:rPr>
          <w:rStyle w:val="sb8d990e2"/>
          <w:rFonts w:asciiTheme="minorHAnsi" w:hAnsiTheme="minorHAnsi" w:cstheme="minorHAnsi"/>
          <w:color w:val="000000"/>
        </w:rPr>
        <w:t>İşbu karar Fransızca dilinde tanzim edilmiş olup, Mahkeme İç Tüzüğü’nün 77. maddesinin 2. fıkrası gereğince 19 Ekim 2021 tarihinde bildirilmiştir.</w:t>
      </w:r>
    </w:p>
    <w:p w14:paraId="240E2485" w14:textId="77777777" w:rsidR="00F35DD8" w:rsidRPr="007F04BC" w:rsidRDefault="00F35DD8" w:rsidP="007F04BC">
      <w:pPr>
        <w:pStyle w:val="s4da71036"/>
        <w:shd w:val="clear" w:color="auto" w:fill="FFFFFF"/>
        <w:spacing w:before="240" w:beforeAutospacing="0" w:after="240" w:afterAutospacing="0" w:line="276" w:lineRule="auto"/>
        <w:ind w:firstLine="284"/>
        <w:jc w:val="both"/>
        <w:rPr>
          <w:rStyle w:val="sb8d990e2"/>
          <w:rFonts w:asciiTheme="minorHAnsi" w:hAnsiTheme="minorHAnsi" w:cstheme="minorHAnsi"/>
          <w:color w:val="000000"/>
        </w:rPr>
      </w:pPr>
    </w:p>
    <w:p w14:paraId="4D9BC9F3" w14:textId="77777777" w:rsidR="00F35DD8" w:rsidRPr="007F04BC" w:rsidRDefault="00F35DD8" w:rsidP="007F04BC">
      <w:pPr>
        <w:pStyle w:val="s4da71036"/>
        <w:shd w:val="clear" w:color="auto" w:fill="FFFFFF"/>
        <w:spacing w:before="240" w:beforeAutospacing="0" w:after="240" w:afterAutospacing="0" w:line="276" w:lineRule="auto"/>
        <w:ind w:firstLine="284"/>
        <w:jc w:val="center"/>
        <w:rPr>
          <w:rStyle w:val="s68f5eaef"/>
          <w:rFonts w:asciiTheme="minorHAnsi" w:hAnsiTheme="minorHAnsi" w:cstheme="minorHAnsi"/>
          <w:color w:val="000000"/>
          <w:shd w:val="clear" w:color="auto" w:fill="FFFFFF"/>
        </w:rPr>
      </w:pPr>
      <w:r w:rsidRPr="007F04BC">
        <w:rPr>
          <w:rStyle w:val="s68f5eaef"/>
          <w:rFonts w:asciiTheme="minorHAnsi" w:hAnsiTheme="minorHAnsi" w:cstheme="minorHAnsi"/>
          <w:color w:val="000000"/>
          <w:shd w:val="clear" w:color="auto" w:fill="FFFFFF"/>
        </w:rPr>
        <w:t xml:space="preserve">Stanley Naismith                         </w:t>
      </w:r>
      <w:r w:rsidRPr="007F04BC">
        <w:rPr>
          <w:rStyle w:val="s267159ca"/>
          <w:rFonts w:asciiTheme="minorHAnsi" w:hAnsiTheme="minorHAnsi" w:cstheme="minorHAnsi"/>
          <w:color w:val="000000"/>
          <w:shd w:val="clear" w:color="auto" w:fill="FFFFFF"/>
        </w:rPr>
        <w:t> </w:t>
      </w:r>
      <w:r w:rsidRPr="007F04BC">
        <w:rPr>
          <w:rStyle w:val="s68f5eaef"/>
          <w:rFonts w:asciiTheme="minorHAnsi" w:hAnsiTheme="minorHAnsi" w:cstheme="minorHAnsi"/>
          <w:color w:val="000000"/>
          <w:shd w:val="clear" w:color="auto" w:fill="FFFFFF"/>
        </w:rPr>
        <w:t>Jon Fridrik Kjølbro</w:t>
      </w:r>
    </w:p>
    <w:p w14:paraId="6C9F3BA0" w14:textId="02958D70" w:rsidR="00F35DD8" w:rsidRPr="007F04BC" w:rsidRDefault="003C631C" w:rsidP="007F04BC">
      <w:pPr>
        <w:pStyle w:val="s4da71036"/>
        <w:shd w:val="clear" w:color="auto" w:fill="FFFFFF"/>
        <w:spacing w:before="240" w:beforeAutospacing="0" w:after="240" w:afterAutospacing="0" w:line="276" w:lineRule="auto"/>
        <w:rPr>
          <w:rFonts w:asciiTheme="minorHAnsi" w:hAnsiTheme="minorHAnsi" w:cstheme="minorHAnsi"/>
          <w:color w:val="000000"/>
        </w:rPr>
      </w:pPr>
      <w:r w:rsidRPr="007F04BC">
        <w:rPr>
          <w:rFonts w:asciiTheme="minorHAnsi" w:hAnsiTheme="minorHAnsi" w:cstheme="minorHAnsi"/>
          <w:color w:val="000000"/>
        </w:rPr>
        <w:t xml:space="preserve">         </w:t>
      </w:r>
      <w:r w:rsidR="00F35DD8" w:rsidRPr="007F04BC">
        <w:rPr>
          <w:rFonts w:asciiTheme="minorHAnsi" w:hAnsiTheme="minorHAnsi" w:cstheme="minorHAnsi"/>
          <w:color w:val="000000"/>
        </w:rPr>
        <w:t xml:space="preserve">           </w:t>
      </w:r>
      <w:r w:rsidR="00F35DD8" w:rsidRPr="007F04BC">
        <w:rPr>
          <w:rStyle w:val="s68f5eaef"/>
          <w:rFonts w:asciiTheme="minorHAnsi" w:hAnsiTheme="minorHAnsi" w:cstheme="minorHAnsi"/>
          <w:color w:val="000000"/>
          <w:shd w:val="clear" w:color="auto" w:fill="FFFFFF"/>
        </w:rPr>
        <w:t>Yazı İşleri Müdürü                               Başkan</w:t>
      </w:r>
    </w:p>
    <w:p w14:paraId="33BF6CDA" w14:textId="77777777" w:rsidR="00F35DD8" w:rsidRPr="007F04BC" w:rsidRDefault="00F35DD8" w:rsidP="007F04BC">
      <w:pPr>
        <w:pStyle w:val="s6962c56"/>
        <w:shd w:val="clear" w:color="auto" w:fill="FFFFFF"/>
        <w:spacing w:before="720" w:beforeAutospacing="0" w:after="0" w:afterAutospacing="0" w:line="276" w:lineRule="auto"/>
        <w:rPr>
          <w:rFonts w:asciiTheme="minorHAnsi" w:hAnsiTheme="minorHAnsi" w:cstheme="minorHAnsi"/>
        </w:rPr>
      </w:pPr>
      <w:r w:rsidRPr="007F04BC">
        <w:rPr>
          <w:rStyle w:val="sb8d990e2"/>
          <w:rFonts w:asciiTheme="minorHAnsi" w:hAnsiTheme="minorHAnsi" w:cstheme="minorHAnsi"/>
          <w:color w:val="000000"/>
        </w:rPr>
        <w:t>       </w:t>
      </w:r>
    </w:p>
    <w:p w14:paraId="51BFA742" w14:textId="77777777" w:rsidR="00F35DD8" w:rsidRPr="007F04BC" w:rsidRDefault="00F35DD8" w:rsidP="007F04BC">
      <w:pPr>
        <w:spacing w:line="276" w:lineRule="auto"/>
        <w:rPr>
          <w:rFonts w:cstheme="minorHAnsi"/>
        </w:rPr>
      </w:pPr>
    </w:p>
    <w:p w14:paraId="1941BD01" w14:textId="43F29BAC" w:rsidR="00876F03" w:rsidRPr="007F04BC" w:rsidRDefault="00876F03" w:rsidP="007F04BC">
      <w:pPr>
        <w:spacing w:line="276" w:lineRule="auto"/>
        <w:rPr>
          <w:rFonts w:cstheme="minorHAnsi"/>
        </w:rPr>
      </w:pPr>
    </w:p>
    <w:sectPr w:rsidR="00876F03" w:rsidRPr="007F04BC">
      <w:headerReference w:type="even" r:id="rId17"/>
      <w:headerReference w:type="default" r:id="rId18"/>
      <w:footerReference w:type="default" r:id="rId19"/>
      <w:footnotePr>
        <w:numRestart w:val="eachSect"/>
      </w:footnotePr>
      <w:pgSz w:w="11906" w:h="16838" w:code="9"/>
      <w:pgMar w:top="2274" w:right="2274" w:bottom="2274" w:left="2274" w:header="1701" w:footer="72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41BD83" w14:textId="77777777" w:rsidR="00FC6A94" w:rsidRPr="00F25EFC" w:rsidRDefault="00FC6A94" w:rsidP="00516B59">
      <w:r w:rsidRPr="00F25EFC">
        <w:separator/>
      </w:r>
    </w:p>
  </w:endnote>
  <w:endnote w:type="continuationSeparator" w:id="0">
    <w:p w14:paraId="6DFCD38D" w14:textId="77777777" w:rsidR="00FC6A94" w:rsidRPr="00F25EFC" w:rsidRDefault="00FC6A94" w:rsidP="00516B59">
      <w:r w:rsidRPr="00F25EF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Calibri">
    <w:panose1 w:val="020F0502020204030204"/>
    <w:charset w:val="A2"/>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A2"/>
    <w:family w:val="swiss"/>
    <w:pitch w:val="variable"/>
    <w:sig w:usb0="E1002EFF" w:usb1="C000605B" w:usb2="00000029" w:usb3="00000000" w:csb0="000101FF" w:csb1="00000000"/>
  </w:font>
  <w:font w:name="Verdana">
    <w:panose1 w:val="020B0604030504040204"/>
    <w:charset w:val="A2"/>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A2"/>
    <w:family w:val="modern"/>
    <w:pitch w:val="fixed"/>
    <w:sig w:usb0="E00006FF" w:usb1="0000FCFF" w:usb2="00000001" w:usb3="00000000" w:csb0="0000019F" w:csb1="00000000"/>
  </w:font>
  <w:font w:name="Arial">
    <w:panose1 w:val="020B0604020202020204"/>
    <w:charset w:val="A2"/>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C87E93" w14:textId="4B069B4D" w:rsidR="00D406AC" w:rsidRPr="00F25EFC" w:rsidRDefault="00D406AC" w:rsidP="00954AD6">
    <w:pPr>
      <w:pStyle w:val="JuHeader"/>
    </w:pPr>
    <w:r>
      <w:fldChar w:fldCharType="begin"/>
    </w:r>
    <w:r>
      <w:instrText xml:space="preserve"> PAGE </w:instrText>
    </w:r>
    <w:r>
      <w:fldChar w:fldCharType="separate"/>
    </w:r>
    <w:r w:rsidR="007F04BC">
      <w:rPr>
        <w:noProof/>
      </w:rPr>
      <w:t>16</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1073C6" w14:textId="26F557B3" w:rsidR="00D406AC" w:rsidRPr="00150BFA" w:rsidRDefault="00D406AC" w:rsidP="00D406AC">
    <w:pPr>
      <w:jc w:val="center"/>
    </w:pPr>
    <w:r>
      <w:rPr>
        <w:noProof/>
        <w:lang w:val="tr-TR" w:eastAsia="tr-TR"/>
      </w:rPr>
      <w:drawing>
        <wp:inline distT="0" distB="0" distL="0" distR="0" wp14:anchorId="526DB93E" wp14:editId="56686892">
          <wp:extent cx="771525" cy="619125"/>
          <wp:effectExtent l="0" t="0" r="9525" b="9525"/>
          <wp:docPr id="73" name="Picture 73"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14:paraId="13A82F4D" w14:textId="7E809C33" w:rsidR="00D406AC" w:rsidRPr="00F25EFC" w:rsidRDefault="00D406AC" w:rsidP="00F27D13">
    <w:pPr>
      <w:pStyle w:val="AltBilgi"/>
      <w:jc w:val="center"/>
      <w:rPr>
        <w:sz w:val="4"/>
        <w:szCs w:val="4"/>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5113E0" w14:textId="18FBB185" w:rsidR="00D406AC" w:rsidRPr="00150BFA" w:rsidRDefault="00D406AC" w:rsidP="00D406AC">
    <w:pPr>
      <w:jc w:val="center"/>
    </w:pPr>
    <w:r>
      <w:rPr>
        <w:noProof/>
        <w:lang w:val="tr-TR" w:eastAsia="tr-TR"/>
      </w:rPr>
      <w:drawing>
        <wp:inline distT="0" distB="0" distL="0" distR="0" wp14:anchorId="42C2F05B" wp14:editId="4B8BBD4E">
          <wp:extent cx="771525" cy="619125"/>
          <wp:effectExtent l="0" t="0" r="9525" b="9525"/>
          <wp:docPr id="3" name="Picture 3"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14:paraId="6A1D9DB6" w14:textId="4AEA48E7" w:rsidR="00D406AC" w:rsidRPr="00F25EFC" w:rsidRDefault="00D406AC" w:rsidP="00902601">
    <w:pPr>
      <w:pStyle w:val="AltBilgi"/>
      <w:jc w:val="center"/>
      <w:rPr>
        <w:sz w:val="4"/>
        <w:szCs w:val="4"/>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2EDE80" w14:textId="018C0DE4" w:rsidR="00D406AC" w:rsidRPr="00D01935" w:rsidRDefault="00D406AC" w:rsidP="00662882">
    <w:pPr>
      <w:pStyle w:val="JuHeader"/>
    </w:pPr>
    <w:r>
      <w:fldChar w:fldCharType="begin"/>
    </w:r>
    <w:r>
      <w:instrText xml:space="preserve"> PAGE </w:instrText>
    </w:r>
    <w:r>
      <w:fldChar w:fldCharType="separate"/>
    </w:r>
    <w:r w:rsidR="007F04BC">
      <w:rPr>
        <w:noProof/>
      </w:rPr>
      <w:t>17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0C3871" w14:textId="77777777" w:rsidR="00FC6A94" w:rsidRPr="00F25EFC" w:rsidRDefault="00FC6A94" w:rsidP="00516B59">
      <w:r w:rsidRPr="00F25EFC">
        <w:separator/>
      </w:r>
    </w:p>
  </w:footnote>
  <w:footnote w:type="continuationSeparator" w:id="0">
    <w:p w14:paraId="552B9B5A" w14:textId="77777777" w:rsidR="00FC6A94" w:rsidRPr="00F25EFC" w:rsidRDefault="00FC6A94" w:rsidP="00516B59">
      <w:r w:rsidRPr="00F25EF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B517C7" w14:textId="69A27EAF" w:rsidR="00D406AC" w:rsidRPr="00A45145" w:rsidRDefault="00D406AC" w:rsidP="00D406AC">
    <w:pPr>
      <w:jc w:val="center"/>
    </w:pPr>
    <w:r>
      <w:rPr>
        <w:noProof/>
        <w:lang w:val="tr-TR" w:eastAsia="tr-TR"/>
      </w:rPr>
      <w:drawing>
        <wp:inline distT="0" distB="0" distL="0" distR="0" wp14:anchorId="3DB46478" wp14:editId="4C7F3293">
          <wp:extent cx="2962275" cy="1219200"/>
          <wp:effectExtent l="0" t="0" r="9525" b="0"/>
          <wp:docPr id="70" name="Picture 70"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14:paraId="79678DE1" w14:textId="46C40938" w:rsidR="00D406AC" w:rsidRPr="00F25EFC" w:rsidRDefault="00D406AC" w:rsidP="00D406AC"/>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749621" w14:textId="61795F6D" w:rsidR="00D406AC" w:rsidRPr="00A45145" w:rsidRDefault="00D406AC" w:rsidP="00D406AC">
    <w:pPr>
      <w:jc w:val="center"/>
    </w:pPr>
    <w:r>
      <w:rPr>
        <w:noProof/>
        <w:lang w:val="tr-TR" w:eastAsia="tr-TR"/>
      </w:rPr>
      <w:drawing>
        <wp:inline distT="0" distB="0" distL="0" distR="0" wp14:anchorId="78ED5199" wp14:editId="43604BCC">
          <wp:extent cx="2962275" cy="1219200"/>
          <wp:effectExtent l="0" t="0" r="9525" b="0"/>
          <wp:docPr id="64" name="Picture 64"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14:paraId="466EB0CA" w14:textId="6048BCA1" w:rsidR="00D406AC" w:rsidRPr="00F25EFC" w:rsidRDefault="00D406AC" w:rsidP="00902601">
    <w:pPr>
      <w:jc w:val="center"/>
      <w:rPr>
        <w:sz w:val="18"/>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DCF102" w14:textId="0DF2BC07" w:rsidR="00D406AC" w:rsidRPr="00592C8D" w:rsidRDefault="00D406AC" w:rsidP="00665C35">
    <w:pPr>
      <w:pStyle w:val="JuHeader"/>
      <w:rPr>
        <w:lang w:val="en-US"/>
      </w:rPr>
    </w:pPr>
    <w:r>
      <w:rPr>
        <w:lang w:val="en-US"/>
      </w:rPr>
      <w:t>VEDAT ŞORL</w:t>
    </w:r>
    <w:r>
      <w:rPr>
        <w:rFonts w:ascii="Times New Roman" w:hAnsi="Times New Roman" w:cs="Times New Roman"/>
        <w:lang w:val="en-US"/>
      </w:rPr>
      <w:t>İ</w:t>
    </w:r>
    <w:r>
      <w:rPr>
        <w:lang w:val="en-US"/>
      </w:rPr>
      <w:t xml:space="preserve"> </w:t>
    </w:r>
    <w:r w:rsidR="00665C35">
      <w:rPr>
        <w:lang w:val="en-US"/>
      </w:rPr>
      <w:t>v</w:t>
    </w:r>
    <w:r>
      <w:rPr>
        <w:lang w:val="en-US"/>
      </w:rPr>
      <w:t>. T</w:t>
    </w:r>
    <w:r w:rsidR="00665C35">
      <w:rPr>
        <w:lang w:val="en-US"/>
      </w:rPr>
      <w:t>ÜRKİYE KARARI</w:t>
    </w:r>
    <w:r w:rsidRPr="00592C8D">
      <w:rPr>
        <w:noProof/>
        <w:lang w:val="en-US"/>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CBAC2D" w14:textId="5DE32C49" w:rsidR="00D406AC" w:rsidRPr="00662882" w:rsidRDefault="00D406AC" w:rsidP="00662882">
    <w:pPr>
      <w:pStyle w:val="JuHeader"/>
    </w:pPr>
    <w:r>
      <w:rPr>
        <w:lang w:val="en-US"/>
      </w:rPr>
      <w:t>VEDAT ŞORL</w:t>
    </w:r>
    <w:r>
      <w:rPr>
        <w:rFonts w:ascii="Times New Roman" w:hAnsi="Times New Roman" w:cs="Times New Roman"/>
        <w:lang w:val="en-US"/>
      </w:rPr>
      <w:t>İ</w:t>
    </w:r>
    <w:r>
      <w:rPr>
        <w:lang w:val="en-US"/>
      </w:rPr>
      <w:t xml:space="preserve"> </w:t>
    </w:r>
    <w:r w:rsidR="00CD4878">
      <w:rPr>
        <w:lang w:val="en-US"/>
      </w:rPr>
      <w:t>v</w:t>
    </w:r>
    <w:r>
      <w:rPr>
        <w:lang w:val="en-US"/>
      </w:rPr>
      <w:t>. T</w:t>
    </w:r>
    <w:r w:rsidR="00CD4878">
      <w:rPr>
        <w:lang w:val="en-US"/>
      </w:rPr>
      <w:t>ÜRKİYE KARARI</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D6701916"/>
    <w:lvl w:ilvl="0">
      <w:start w:val="1"/>
      <w:numFmt w:val="decimal"/>
      <w:pStyle w:val="ListeNumaras5"/>
      <w:lvlText w:val="%1."/>
      <w:lvlJc w:val="left"/>
      <w:pPr>
        <w:tabs>
          <w:tab w:val="num" w:pos="1492"/>
        </w:tabs>
        <w:ind w:left="1492" w:hanging="360"/>
      </w:pPr>
    </w:lvl>
  </w:abstractNum>
  <w:abstractNum w:abstractNumId="1" w15:restartNumberingAfterBreak="0">
    <w:nsid w:val="FFFFFF7D"/>
    <w:multiLevelType w:val="singleLevel"/>
    <w:tmpl w:val="23283F32"/>
    <w:lvl w:ilvl="0">
      <w:start w:val="1"/>
      <w:numFmt w:val="decimal"/>
      <w:pStyle w:val="ListeNumaras4"/>
      <w:lvlText w:val="%1."/>
      <w:lvlJc w:val="left"/>
      <w:pPr>
        <w:tabs>
          <w:tab w:val="num" w:pos="1209"/>
        </w:tabs>
        <w:ind w:left="1209" w:hanging="360"/>
      </w:pPr>
    </w:lvl>
  </w:abstractNum>
  <w:abstractNum w:abstractNumId="2" w15:restartNumberingAfterBreak="0">
    <w:nsid w:val="FFFFFF7E"/>
    <w:multiLevelType w:val="singleLevel"/>
    <w:tmpl w:val="2F369A7C"/>
    <w:lvl w:ilvl="0">
      <w:start w:val="1"/>
      <w:numFmt w:val="decimal"/>
      <w:pStyle w:val="ListeNumaras3"/>
      <w:lvlText w:val="%1."/>
      <w:lvlJc w:val="left"/>
      <w:pPr>
        <w:tabs>
          <w:tab w:val="num" w:pos="926"/>
        </w:tabs>
        <w:ind w:left="926" w:hanging="360"/>
      </w:pPr>
    </w:lvl>
  </w:abstractNum>
  <w:abstractNum w:abstractNumId="3" w15:restartNumberingAfterBreak="0">
    <w:nsid w:val="FFFFFF7F"/>
    <w:multiLevelType w:val="singleLevel"/>
    <w:tmpl w:val="3346880A"/>
    <w:lvl w:ilvl="0">
      <w:start w:val="1"/>
      <w:numFmt w:val="decimal"/>
      <w:pStyle w:val="ListeNumaras2"/>
      <w:lvlText w:val="%1."/>
      <w:lvlJc w:val="left"/>
      <w:pPr>
        <w:tabs>
          <w:tab w:val="num" w:pos="643"/>
        </w:tabs>
        <w:ind w:left="643" w:hanging="360"/>
      </w:pPr>
    </w:lvl>
  </w:abstractNum>
  <w:abstractNum w:abstractNumId="4" w15:restartNumberingAfterBreak="0">
    <w:nsid w:val="FFFFFF80"/>
    <w:multiLevelType w:val="singleLevel"/>
    <w:tmpl w:val="552A83EC"/>
    <w:lvl w:ilvl="0">
      <w:start w:val="1"/>
      <w:numFmt w:val="bullet"/>
      <w:pStyle w:val="ListeMaddemi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85AC83C"/>
    <w:lvl w:ilvl="0">
      <w:start w:val="1"/>
      <w:numFmt w:val="bullet"/>
      <w:pStyle w:val="ListeMaddemi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7486FE2"/>
    <w:lvl w:ilvl="0">
      <w:start w:val="1"/>
      <w:numFmt w:val="bullet"/>
      <w:pStyle w:val="ListeMaddemi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A528BA6"/>
    <w:lvl w:ilvl="0">
      <w:start w:val="1"/>
      <w:numFmt w:val="bullet"/>
      <w:pStyle w:val="ListeMaddemi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66C20B0"/>
    <w:lvl w:ilvl="0">
      <w:start w:val="1"/>
      <w:numFmt w:val="decimal"/>
      <w:pStyle w:val="ListeNumaras"/>
      <w:lvlText w:val="%1."/>
      <w:lvlJc w:val="left"/>
      <w:pPr>
        <w:tabs>
          <w:tab w:val="num" w:pos="360"/>
        </w:tabs>
        <w:ind w:left="360" w:hanging="360"/>
      </w:pPr>
    </w:lvl>
  </w:abstractNum>
  <w:abstractNum w:abstractNumId="9" w15:restartNumberingAfterBreak="0">
    <w:nsid w:val="06272AEC"/>
    <w:multiLevelType w:val="hybridMultilevel"/>
    <w:tmpl w:val="39DAE6E0"/>
    <w:lvl w:ilvl="0" w:tplc="A296F9FE">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0693663A"/>
    <w:multiLevelType w:val="hybridMultilevel"/>
    <w:tmpl w:val="04E88D86"/>
    <w:lvl w:ilvl="0" w:tplc="14183062">
      <w:start w:val="1"/>
      <w:numFmt w:val="upperLetter"/>
      <w:lvlText w:val="%1."/>
      <w:lvlJc w:val="left"/>
      <w:pPr>
        <w:ind w:left="644" w:hanging="360"/>
      </w:pPr>
      <w:rPr>
        <w:rFonts w:hint="default"/>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11" w15:restartNumberingAfterBreak="0">
    <w:nsid w:val="0C0F5BFC"/>
    <w:multiLevelType w:val="multilevel"/>
    <w:tmpl w:val="D8668044"/>
    <w:lvl w:ilvl="0">
      <w:start w:val="1"/>
      <w:numFmt w:val="none"/>
      <w:pStyle w:val="JuHHead"/>
      <w:suff w:val="nothing"/>
      <w:lvlText w:val="%1"/>
      <w:lvlJc w:val="left"/>
      <w:pPr>
        <w:ind w:left="0" w:firstLine="0"/>
      </w:pPr>
      <w:rPr>
        <w:rFonts w:hint="default"/>
      </w:rPr>
    </w:lvl>
    <w:lvl w:ilvl="1">
      <w:start w:val="1"/>
      <w:numFmt w:val="upperRoman"/>
      <w:pStyle w:val="JuHIRoman"/>
      <w:lvlText w:val="%2."/>
      <w:lvlJc w:val="left"/>
      <w:pPr>
        <w:ind w:left="397" w:hanging="397"/>
      </w:pPr>
      <w:rPr>
        <w:rFonts w:hint="default"/>
      </w:rPr>
    </w:lvl>
    <w:lvl w:ilvl="2">
      <w:start w:val="1"/>
      <w:numFmt w:val="upperLetter"/>
      <w:pStyle w:val="JuHA"/>
      <w:lvlText w:val="%3."/>
      <w:lvlJc w:val="left"/>
      <w:pPr>
        <w:ind w:left="510" w:hanging="340"/>
      </w:pPr>
      <w:rPr>
        <w:rFonts w:hint="default"/>
      </w:rPr>
    </w:lvl>
    <w:lvl w:ilvl="3">
      <w:start w:val="1"/>
      <w:numFmt w:val="decimal"/>
      <w:pStyle w:val="JuH1"/>
      <w:lvlText w:val="%4."/>
      <w:lvlJc w:val="left"/>
      <w:pPr>
        <w:ind w:left="680" w:hanging="340"/>
      </w:pPr>
      <w:rPr>
        <w:rFonts w:hint="default"/>
      </w:rPr>
    </w:lvl>
    <w:lvl w:ilvl="4">
      <w:start w:val="1"/>
      <w:numFmt w:val="lowerLetter"/>
      <w:pStyle w:val="JuHa0"/>
      <w:lvlText w:val="%5)"/>
      <w:lvlJc w:val="left"/>
      <w:pPr>
        <w:ind w:left="851" w:hanging="341"/>
      </w:pPr>
      <w:rPr>
        <w:rFonts w:hint="default"/>
      </w:rPr>
    </w:lvl>
    <w:lvl w:ilvl="5">
      <w:start w:val="1"/>
      <w:numFmt w:val="lowerRoman"/>
      <w:pStyle w:val="JuHi"/>
      <w:lvlText w:val="%6."/>
      <w:lvlJc w:val="left"/>
      <w:pPr>
        <w:ind w:left="1021" w:hanging="341"/>
      </w:pPr>
      <w:rPr>
        <w:rFonts w:hint="default"/>
      </w:rPr>
    </w:lvl>
    <w:lvl w:ilvl="6">
      <w:start w:val="1"/>
      <mc:AlternateContent>
        <mc:Choice Requires="w14">
          <w:numFmt w:val="custom" w:format="α, β, γ, ..."/>
        </mc:Choice>
        <mc:Fallback>
          <w:numFmt w:val="decimal"/>
        </mc:Fallback>
      </mc:AlternateContent>
      <w:pStyle w:val="JuHalpha"/>
      <w:lvlText w:val="%7)"/>
      <w:lvlJc w:val="left"/>
      <w:pPr>
        <w:ind w:left="1247" w:hanging="396"/>
      </w:pPr>
      <w:rPr>
        <w:rFonts w:asciiTheme="minorHAnsi" w:hAnsiTheme="minorHAnsi" w:hint="default"/>
        <w:b w:val="0"/>
        <w:i w:val="0"/>
      </w:rPr>
    </w:lvl>
    <w:lvl w:ilvl="7">
      <w:start w:val="1"/>
      <w:numFmt w:val="bullet"/>
      <w:pStyle w:val="JuH"/>
      <w:lvlText w:val="‒"/>
      <w:lvlJc w:val="left"/>
      <w:pPr>
        <w:ind w:left="1247" w:hanging="226"/>
      </w:pPr>
      <w:rPr>
        <w:rFonts w:ascii="Times New Roman" w:hAnsi="Times New Roman" w:cs="Times New Roman" w:hint="default"/>
        <w:color w:val="auto"/>
      </w:rPr>
    </w:lvl>
    <w:lvl w:ilvl="8">
      <w:start w:val="1"/>
      <w:numFmt w:val="bullet"/>
      <w:pStyle w:val="ECHRHeading9"/>
      <w:lvlText w:val="▪"/>
      <w:lvlJc w:val="left"/>
      <w:pPr>
        <w:ind w:left="1361" w:hanging="170"/>
      </w:pPr>
      <w:rPr>
        <w:rFonts w:ascii="Times New Roman" w:hAnsi="Times New Roman" w:cs="Times New Roman" w:hint="default"/>
        <w:color w:val="auto"/>
      </w:rPr>
    </w:lvl>
  </w:abstractNum>
  <w:abstractNum w:abstractNumId="12" w15:restartNumberingAfterBreak="0">
    <w:nsid w:val="1AA96CEA"/>
    <w:multiLevelType w:val="multilevel"/>
    <w:tmpl w:val="040C0023"/>
    <w:styleLink w:val="MakaleBlm"/>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1D27094A"/>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E62472F"/>
    <w:multiLevelType w:val="hybridMultilevel"/>
    <w:tmpl w:val="16FC294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201E56A9"/>
    <w:multiLevelType w:val="hybridMultilevel"/>
    <w:tmpl w:val="BA08637E"/>
    <w:lvl w:ilvl="0" w:tplc="040C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15:restartNumberingAfterBreak="0">
    <w:nsid w:val="24032F7D"/>
    <w:multiLevelType w:val="hybridMultilevel"/>
    <w:tmpl w:val="EDC6845C"/>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27D5546B"/>
    <w:multiLevelType w:val="multilevel"/>
    <w:tmpl w:val="7222064C"/>
    <w:styleLink w:val="ECHRA1StyleList"/>
    <w:lvl w:ilvl="0">
      <w:start w:val="1"/>
      <w:numFmt w:val="decimal"/>
      <w:pStyle w:val="JuList"/>
      <w:lvlText w:val="%1."/>
      <w:lvlJc w:val="left"/>
      <w:pPr>
        <w:tabs>
          <w:tab w:val="num" w:pos="340"/>
        </w:tabs>
        <w:ind w:left="340" w:hanging="340"/>
      </w:pPr>
      <w:rPr>
        <w:rFonts w:hint="default"/>
      </w:rPr>
    </w:lvl>
    <w:lvl w:ilvl="1">
      <w:start w:val="1"/>
      <w:numFmt w:val="lowerLetter"/>
      <w:pStyle w:val="JuLista"/>
      <w:lvlText w:val="%2)"/>
      <w:lvlJc w:val="left"/>
      <w:pPr>
        <w:tabs>
          <w:tab w:val="num" w:pos="680"/>
        </w:tabs>
        <w:ind w:left="680" w:hanging="340"/>
      </w:pPr>
      <w:rPr>
        <w:rFonts w:hint="default"/>
      </w:rPr>
    </w:lvl>
    <w:lvl w:ilvl="2">
      <w:start w:val="1"/>
      <w:numFmt w:val="lowerRoman"/>
      <w:pStyle w:val="JuListi"/>
      <w:suff w:val="space"/>
      <w:lvlText w:val="%3."/>
      <w:lvlJc w:val="left"/>
      <w:pPr>
        <w:ind w:left="907" w:hanging="227"/>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2BE52F70"/>
    <w:multiLevelType w:val="hybridMultilevel"/>
    <w:tmpl w:val="38EC0AE0"/>
    <w:lvl w:ilvl="0" w:tplc="2FBA7FEE">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40B939E1"/>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4860919"/>
    <w:multiLevelType w:val="hybridMultilevel"/>
    <w:tmpl w:val="BA08637E"/>
    <w:lvl w:ilvl="0" w:tplc="040C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15:restartNumberingAfterBreak="0">
    <w:nsid w:val="4989571C"/>
    <w:multiLevelType w:val="multilevel"/>
    <w:tmpl w:val="EFC26858"/>
    <w:styleLink w:val="ECHRA1StyleBulletedSquare"/>
    <w:lvl w:ilvl="0">
      <w:start w:val="1"/>
      <w:numFmt w:val="bullet"/>
      <w:pStyle w:val="ECHRBullet1"/>
      <w:lvlText w:val=""/>
      <w:lvlJc w:val="left"/>
      <w:pPr>
        <w:tabs>
          <w:tab w:val="num" w:pos="851"/>
        </w:tabs>
        <w:ind w:left="851" w:hanging="284"/>
      </w:pPr>
      <w:rPr>
        <w:rFonts w:ascii="Wingdings" w:hAnsi="Wingdings" w:hint="default"/>
        <w:color w:val="0072BC" w:themeColor="background1"/>
      </w:rPr>
    </w:lvl>
    <w:lvl w:ilvl="1">
      <w:start w:val="1"/>
      <w:numFmt w:val="bullet"/>
      <w:pStyle w:val="ECHRBullet2"/>
      <w:lvlText w:val=""/>
      <w:lvlJc w:val="left"/>
      <w:pPr>
        <w:tabs>
          <w:tab w:val="num" w:pos="1134"/>
        </w:tabs>
        <w:ind w:left="1135" w:hanging="284"/>
      </w:pPr>
      <w:rPr>
        <w:rFonts w:ascii="Wingdings" w:hAnsi="Wingdings" w:hint="default"/>
        <w:color w:val="0072BC" w:themeColor="background1"/>
      </w:rPr>
    </w:lvl>
    <w:lvl w:ilvl="2">
      <w:start w:val="1"/>
      <w:numFmt w:val="bullet"/>
      <w:pStyle w:val="ECHRBullet3"/>
      <w:lvlText w:val=""/>
      <w:lvlJc w:val="left"/>
      <w:pPr>
        <w:tabs>
          <w:tab w:val="num" w:pos="1418"/>
        </w:tabs>
        <w:ind w:left="1419" w:hanging="284"/>
      </w:pPr>
      <w:rPr>
        <w:rFonts w:ascii="Wingdings" w:hAnsi="Wingdings" w:hint="default"/>
        <w:color w:val="7F7F7F" w:themeColor="text1" w:themeTint="80"/>
      </w:rPr>
    </w:lvl>
    <w:lvl w:ilvl="3">
      <w:start w:val="1"/>
      <w:numFmt w:val="bullet"/>
      <w:pStyle w:val="ECHRBullet4"/>
      <w:lvlText w:val=""/>
      <w:lvlJc w:val="left"/>
      <w:pPr>
        <w:tabs>
          <w:tab w:val="num" w:pos="1701"/>
        </w:tabs>
        <w:ind w:left="1703" w:hanging="284"/>
      </w:pPr>
      <w:rPr>
        <w:rFonts w:ascii="Wingdings" w:hAnsi="Wingdings" w:hint="default"/>
        <w:color w:val="7F7F7F" w:themeColor="text1" w:themeTint="80"/>
      </w:rPr>
    </w:lvl>
    <w:lvl w:ilvl="4">
      <w:start w:val="1"/>
      <w:numFmt w:val="bullet"/>
      <w:lvlText w:val=""/>
      <w:lvlJc w:val="left"/>
      <w:pPr>
        <w:tabs>
          <w:tab w:val="num" w:pos="1760"/>
        </w:tabs>
        <w:ind w:left="1987" w:hanging="284"/>
      </w:pPr>
      <w:rPr>
        <w:rFonts w:ascii="Wingdings" w:hAnsi="Wingdings" w:hint="default"/>
        <w:color w:val="0072BC" w:themeColor="background1"/>
      </w:rPr>
    </w:lvl>
    <w:lvl w:ilvl="5">
      <w:start w:val="1"/>
      <w:numFmt w:val="bullet"/>
      <w:lvlText w:val=""/>
      <w:lvlJc w:val="left"/>
      <w:pPr>
        <w:tabs>
          <w:tab w:val="num" w:pos="2044"/>
        </w:tabs>
        <w:ind w:left="2271" w:hanging="284"/>
      </w:pPr>
      <w:rPr>
        <w:rFonts w:ascii="Wingdings" w:hAnsi="Wingdings" w:hint="default"/>
        <w:color w:val="5F5F5F" w:themeColor="accent5"/>
      </w:rPr>
    </w:lvl>
    <w:lvl w:ilvl="6">
      <w:start w:val="1"/>
      <w:numFmt w:val="bullet"/>
      <w:lvlText w:val=""/>
      <w:lvlJc w:val="left"/>
      <w:pPr>
        <w:tabs>
          <w:tab w:val="num" w:pos="2328"/>
        </w:tabs>
        <w:ind w:left="2555" w:hanging="284"/>
      </w:pPr>
      <w:rPr>
        <w:rFonts w:ascii="Symbol" w:hAnsi="Symbol" w:hint="default"/>
      </w:rPr>
    </w:lvl>
    <w:lvl w:ilvl="7">
      <w:start w:val="1"/>
      <w:numFmt w:val="bullet"/>
      <w:lvlText w:val="o"/>
      <w:lvlJc w:val="left"/>
      <w:pPr>
        <w:tabs>
          <w:tab w:val="num" w:pos="2612"/>
        </w:tabs>
        <w:ind w:left="2839" w:hanging="284"/>
      </w:pPr>
      <w:rPr>
        <w:rFonts w:ascii="Courier New" w:hAnsi="Courier New" w:hint="default"/>
      </w:rPr>
    </w:lvl>
    <w:lvl w:ilvl="8">
      <w:start w:val="1"/>
      <w:numFmt w:val="bullet"/>
      <w:lvlText w:val=""/>
      <w:lvlJc w:val="left"/>
      <w:pPr>
        <w:tabs>
          <w:tab w:val="num" w:pos="2896"/>
        </w:tabs>
        <w:ind w:left="3123" w:hanging="284"/>
      </w:pPr>
      <w:rPr>
        <w:rFonts w:ascii="Wingdings" w:hAnsi="Wingdings" w:hint="default"/>
      </w:rPr>
    </w:lvl>
  </w:abstractNum>
  <w:abstractNum w:abstractNumId="22" w15:restartNumberingAfterBreak="0">
    <w:nsid w:val="49B84B80"/>
    <w:multiLevelType w:val="hybridMultilevel"/>
    <w:tmpl w:val="D82A3D22"/>
    <w:lvl w:ilvl="0" w:tplc="14183062">
      <w:start w:val="1"/>
      <w:numFmt w:val="upperLetter"/>
      <w:lvlText w:val="%1."/>
      <w:lvlJc w:val="left"/>
      <w:pPr>
        <w:ind w:left="644" w:hanging="360"/>
      </w:pPr>
      <w:rPr>
        <w:rFonts w:hint="default"/>
      </w:rPr>
    </w:lvl>
    <w:lvl w:ilvl="1" w:tplc="041F0019">
      <w:start w:val="1"/>
      <w:numFmt w:val="lowerLetter"/>
      <w:lvlText w:val="%2."/>
      <w:lvlJc w:val="left"/>
      <w:pPr>
        <w:ind w:left="1364" w:hanging="360"/>
      </w:pPr>
    </w:lvl>
    <w:lvl w:ilvl="2" w:tplc="041F001B">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23" w15:restartNumberingAfterBreak="0">
    <w:nsid w:val="5032512D"/>
    <w:multiLevelType w:val="multilevel"/>
    <w:tmpl w:val="9B34AC6C"/>
    <w:styleLink w:val="ECHRA1StyleNumberedList"/>
    <w:lvl w:ilvl="0">
      <w:start w:val="1"/>
      <w:numFmt w:val="decimal"/>
      <w:pStyle w:val="ECHRNumberedList1"/>
      <w:lvlText w:val="%1."/>
      <w:lvlJc w:val="left"/>
      <w:pPr>
        <w:tabs>
          <w:tab w:val="num" w:pos="964"/>
        </w:tabs>
        <w:ind w:left="964" w:hanging="397"/>
      </w:pPr>
      <w:rPr>
        <w:rFonts w:hint="default"/>
      </w:rPr>
    </w:lvl>
    <w:lvl w:ilvl="1">
      <w:start w:val="1"/>
      <w:numFmt w:val="lowerLetter"/>
      <w:pStyle w:val="ECHRNumberedList2"/>
      <w:lvlText w:val="%2."/>
      <w:lvlJc w:val="left"/>
      <w:pPr>
        <w:tabs>
          <w:tab w:val="num" w:pos="1361"/>
        </w:tabs>
        <w:ind w:left="1361" w:hanging="397"/>
      </w:pPr>
      <w:rPr>
        <w:rFonts w:hint="default"/>
      </w:rPr>
    </w:lvl>
    <w:lvl w:ilvl="2">
      <w:start w:val="1"/>
      <w:numFmt w:val="lowerRoman"/>
      <w:pStyle w:val="ECHRNumberedList3"/>
      <w:lvlText w:val="%3."/>
      <w:lvlJc w:val="left"/>
      <w:pPr>
        <w:tabs>
          <w:tab w:val="num" w:pos="1758"/>
        </w:tabs>
        <w:ind w:left="1758" w:hanging="397"/>
      </w:pPr>
      <w:rPr>
        <w:rFonts w:hint="default"/>
      </w:rPr>
    </w:lvl>
    <w:lvl w:ilvl="3">
      <w:start w:val="1"/>
      <w:numFmt w:val="decimal"/>
      <w:lvlText w:val="(%4)"/>
      <w:lvlJc w:val="left"/>
      <w:pPr>
        <w:tabs>
          <w:tab w:val="num" w:pos="1703"/>
        </w:tabs>
        <w:ind w:left="1703" w:hanging="284"/>
      </w:pPr>
      <w:rPr>
        <w:rFonts w:hint="default"/>
      </w:rPr>
    </w:lvl>
    <w:lvl w:ilvl="4">
      <w:start w:val="1"/>
      <w:numFmt w:val="lowerLetter"/>
      <w:lvlText w:val="(%5)"/>
      <w:lvlJc w:val="left"/>
      <w:pPr>
        <w:tabs>
          <w:tab w:val="num" w:pos="1987"/>
        </w:tabs>
        <w:ind w:left="1987" w:hanging="284"/>
      </w:pPr>
      <w:rPr>
        <w:rFonts w:hint="default"/>
      </w:rPr>
    </w:lvl>
    <w:lvl w:ilvl="5">
      <w:start w:val="1"/>
      <w:numFmt w:val="lowerRoman"/>
      <w:lvlText w:val="(%6)"/>
      <w:lvlJc w:val="left"/>
      <w:pPr>
        <w:tabs>
          <w:tab w:val="num" w:pos="2271"/>
        </w:tabs>
        <w:ind w:left="2271" w:hanging="284"/>
      </w:pPr>
      <w:rPr>
        <w:rFonts w:hint="default"/>
      </w:rPr>
    </w:lvl>
    <w:lvl w:ilvl="6">
      <w:start w:val="1"/>
      <w:numFmt w:val="decimal"/>
      <w:lvlText w:val="%7."/>
      <w:lvlJc w:val="left"/>
      <w:pPr>
        <w:tabs>
          <w:tab w:val="num" w:pos="2555"/>
        </w:tabs>
        <w:ind w:left="2555" w:hanging="284"/>
      </w:pPr>
      <w:rPr>
        <w:rFonts w:hint="default"/>
      </w:rPr>
    </w:lvl>
    <w:lvl w:ilvl="7">
      <w:start w:val="1"/>
      <w:numFmt w:val="lowerLetter"/>
      <w:lvlText w:val="%8."/>
      <w:lvlJc w:val="left"/>
      <w:pPr>
        <w:tabs>
          <w:tab w:val="num" w:pos="2839"/>
        </w:tabs>
        <w:ind w:left="2839" w:hanging="284"/>
      </w:pPr>
      <w:rPr>
        <w:rFonts w:hint="default"/>
      </w:rPr>
    </w:lvl>
    <w:lvl w:ilvl="8">
      <w:start w:val="1"/>
      <w:numFmt w:val="lowerRoman"/>
      <w:lvlText w:val="%9."/>
      <w:lvlJc w:val="left"/>
      <w:pPr>
        <w:tabs>
          <w:tab w:val="num" w:pos="3123"/>
        </w:tabs>
        <w:ind w:left="3123" w:hanging="284"/>
      </w:pPr>
      <w:rPr>
        <w:rFonts w:hint="default"/>
      </w:rPr>
    </w:lvl>
  </w:abstractNum>
  <w:abstractNum w:abstractNumId="24" w15:restartNumberingAfterBreak="0">
    <w:nsid w:val="56B9429C"/>
    <w:multiLevelType w:val="multilevel"/>
    <w:tmpl w:val="98544F5E"/>
    <w:lvl w:ilvl="0">
      <w:start w:val="1"/>
      <w:numFmt w:val="none"/>
      <w:suff w:val="nothing"/>
      <w:lvlText w:val=""/>
      <w:lvlJc w:val="left"/>
      <w:pPr>
        <w:ind w:left="0" w:firstLine="0"/>
      </w:pPr>
      <w:rPr>
        <w:rFonts w:hint="default"/>
      </w:rPr>
    </w:lvl>
    <w:lvl w:ilvl="1">
      <w:start w:val="1"/>
      <w:numFmt w:val="upperRoman"/>
      <w:suff w:val="space"/>
      <w:lvlText w:val="%2."/>
      <w:lvlJc w:val="left"/>
      <w:pPr>
        <w:ind w:left="357" w:hanging="357"/>
      </w:pPr>
      <w:rPr>
        <w:rFonts w:hint="default"/>
        <w:sz w:val="24"/>
      </w:rPr>
    </w:lvl>
    <w:lvl w:ilvl="2">
      <w:start w:val="1"/>
      <w:numFmt w:val="upperLetter"/>
      <w:lvlText w:val="%3."/>
      <w:lvlJc w:val="left"/>
      <w:pPr>
        <w:ind w:left="584" w:hanging="352"/>
      </w:pPr>
      <w:rPr>
        <w:rFonts w:hint="default"/>
      </w:rPr>
    </w:lvl>
    <w:lvl w:ilvl="3">
      <w:start w:val="1"/>
      <w:numFmt w:val="decimal"/>
      <w:lvlText w:val="%4."/>
      <w:lvlJc w:val="left"/>
      <w:pPr>
        <w:ind w:left="731" w:hanging="300"/>
      </w:pPr>
      <w:rPr>
        <w:rFonts w:hint="default"/>
      </w:rPr>
    </w:lvl>
    <w:lvl w:ilvl="4">
      <w:start w:val="1"/>
      <w:numFmt w:val="lowerLetter"/>
      <w:lvlText w:val="%5)"/>
      <w:lvlJc w:val="left"/>
      <w:pPr>
        <w:ind w:left="975" w:hanging="340"/>
      </w:pPr>
      <w:rPr>
        <w:rFonts w:hint="default"/>
      </w:rPr>
    </w:lvl>
    <w:lvl w:ilvl="5">
      <w:start w:val="1"/>
      <w:numFmt w:val="lowerRoman"/>
      <w:suff w:val="space"/>
      <w:lvlText w:val="%6."/>
      <w:lvlJc w:val="left"/>
      <w:pPr>
        <w:ind w:left="1191" w:hanging="358"/>
      </w:pPr>
      <w:rPr>
        <w:rFonts w:hint="default"/>
      </w:rPr>
    </w:lvl>
    <w:lvl w:ilvl="6">
      <w:start w:val="1"/>
      <w:numFmt w:val="lowerLetter"/>
      <w:lvlText w:val="%7)"/>
      <w:lvlJc w:val="left"/>
      <w:pPr>
        <w:ind w:left="1372" w:hanging="334"/>
      </w:pPr>
      <w:rPr>
        <w:rFonts w:ascii="Symbol" w:hAnsi="Symbol" w:hint="default"/>
        <w:sz w:val="20"/>
      </w:rPr>
    </w:lvl>
    <w:lvl w:ilvl="7">
      <w:start w:val="1"/>
      <w:numFmt w:val="bullet"/>
      <w:lvlText w:val="‒"/>
      <w:lvlJc w:val="left"/>
      <w:pPr>
        <w:ind w:left="1304" w:hanging="68"/>
      </w:pPr>
      <w:rPr>
        <w:rFonts w:ascii="Calibri" w:hAnsi="Calibri" w:hint="default"/>
        <w:color w:val="auto"/>
      </w:rPr>
    </w:lvl>
    <w:lvl w:ilvl="8">
      <w:start w:val="1"/>
      <w:numFmt w:val="none"/>
      <w:lvlText w:val="%9"/>
      <w:lvlJc w:val="right"/>
      <w:pPr>
        <w:ind w:left="7313" w:hanging="180"/>
      </w:pPr>
      <w:rPr>
        <w:rFonts w:hint="default"/>
      </w:rPr>
    </w:lvl>
  </w:abstractNum>
  <w:abstractNum w:abstractNumId="25" w15:restartNumberingAfterBreak="0">
    <w:nsid w:val="67FD1241"/>
    <w:multiLevelType w:val="hybridMultilevel"/>
    <w:tmpl w:val="F6D86CC2"/>
    <w:lvl w:ilvl="0" w:tplc="E4205412">
      <w:start w:val="1"/>
      <w:numFmt w:val="bullet"/>
      <w:pStyle w:val="ListeMaddemi"/>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26" w15:restartNumberingAfterBreak="0">
    <w:nsid w:val="78AC385A"/>
    <w:multiLevelType w:val="hybridMultilevel"/>
    <w:tmpl w:val="1814F92A"/>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4"/>
  </w:num>
  <w:num w:numId="2">
    <w:abstractNumId w:val="11"/>
  </w:num>
  <w:num w:numId="3">
    <w:abstractNumId w:val="19"/>
  </w:num>
  <w:num w:numId="4">
    <w:abstractNumId w:val="13"/>
  </w:num>
  <w:num w:numId="5">
    <w:abstractNumId w:val="12"/>
  </w:num>
  <w:num w:numId="6">
    <w:abstractNumId w:val="21"/>
  </w:num>
  <w:num w:numId="7">
    <w:abstractNumId w:val="17"/>
  </w:num>
  <w:num w:numId="8">
    <w:abstractNumId w:val="23"/>
  </w:num>
  <w:num w:numId="9">
    <w:abstractNumId w:val="25"/>
  </w:num>
  <w:num w:numId="10">
    <w:abstractNumId w:val="7"/>
  </w:num>
  <w:num w:numId="11">
    <w:abstractNumId w:val="6"/>
  </w:num>
  <w:num w:numId="12">
    <w:abstractNumId w:val="5"/>
  </w:num>
  <w:num w:numId="13">
    <w:abstractNumId w:val="4"/>
  </w:num>
  <w:num w:numId="14">
    <w:abstractNumId w:val="8"/>
  </w:num>
  <w:num w:numId="15">
    <w:abstractNumId w:val="3"/>
  </w:num>
  <w:num w:numId="16">
    <w:abstractNumId w:val="2"/>
  </w:num>
  <w:num w:numId="17">
    <w:abstractNumId w:val="1"/>
  </w:num>
  <w:num w:numId="18">
    <w:abstractNumId w:val="0"/>
  </w:num>
  <w:num w:numId="19">
    <w:abstractNumId w:val="18"/>
  </w:num>
  <w:num w:numId="20">
    <w:abstractNumId w:val="15"/>
  </w:num>
  <w:num w:numId="21">
    <w:abstractNumId w:val="20"/>
  </w:num>
  <w:num w:numId="22">
    <w:abstractNumId w:val="16"/>
  </w:num>
  <w:num w:numId="23">
    <w:abstractNumId w:val="14"/>
  </w:num>
  <w:num w:numId="24">
    <w:abstractNumId w:val="26"/>
  </w:num>
  <w:num w:numId="25">
    <w:abstractNumId w:val="9"/>
  </w:num>
  <w:num w:numId="26">
    <w:abstractNumId w:val="22"/>
  </w:num>
  <w:num w:numId="27">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9"/>
  <w:removePersonalInformation/>
  <w:hideSpellingErrors/>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drawingGridHorizontalSpacing w:val="110"/>
  <w:displayHorizontalDrawingGridEvery w:val="2"/>
  <w:displayVerticalDrawingGridEvery w:val="2"/>
  <w:characterSpacingControl w:val="doNotCompress"/>
  <w:hdrShapeDefaults>
    <o:shapedefaults v:ext="edit" spidmax="2049"/>
  </w:hdrShapeDefaults>
  <w:footnotePr>
    <w:numRestart w:val="eachSect"/>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pplicationsApp" w:val="1"/>
    <w:docVar w:name="EMM" w:val="0"/>
    <w:docVar w:name="NBEMMDOC" w:val="0"/>
    <w:docVar w:name="Plural" w:val="0"/>
  </w:docVars>
  <w:rsids>
    <w:rsidRoot w:val="00540D5A"/>
    <w:rsid w:val="000041F8"/>
    <w:rsid w:val="000042A8"/>
    <w:rsid w:val="00004308"/>
    <w:rsid w:val="000051B5"/>
    <w:rsid w:val="00005BF0"/>
    <w:rsid w:val="00007154"/>
    <w:rsid w:val="000103AE"/>
    <w:rsid w:val="00011D69"/>
    <w:rsid w:val="00012AD3"/>
    <w:rsid w:val="00015C2D"/>
    <w:rsid w:val="00015F00"/>
    <w:rsid w:val="00022C1D"/>
    <w:rsid w:val="00030B19"/>
    <w:rsid w:val="00034987"/>
    <w:rsid w:val="00035563"/>
    <w:rsid w:val="00051015"/>
    <w:rsid w:val="00051BF6"/>
    <w:rsid w:val="000602DF"/>
    <w:rsid w:val="00061B05"/>
    <w:rsid w:val="000632D5"/>
    <w:rsid w:val="000644EE"/>
    <w:rsid w:val="00071C73"/>
    <w:rsid w:val="00072792"/>
    <w:rsid w:val="00080ECE"/>
    <w:rsid w:val="0009057B"/>
    <w:rsid w:val="000925AD"/>
    <w:rsid w:val="000A15D9"/>
    <w:rsid w:val="000A20EB"/>
    <w:rsid w:val="000A24EB"/>
    <w:rsid w:val="000A6042"/>
    <w:rsid w:val="000B0046"/>
    <w:rsid w:val="000B52D8"/>
    <w:rsid w:val="000B5D17"/>
    <w:rsid w:val="000B6923"/>
    <w:rsid w:val="000C5F3C"/>
    <w:rsid w:val="000C6DCC"/>
    <w:rsid w:val="000D04C2"/>
    <w:rsid w:val="000D47AA"/>
    <w:rsid w:val="000D721F"/>
    <w:rsid w:val="000E069B"/>
    <w:rsid w:val="000E0E82"/>
    <w:rsid w:val="000E1DC5"/>
    <w:rsid w:val="000E223F"/>
    <w:rsid w:val="000E4AC8"/>
    <w:rsid w:val="000E7D45"/>
    <w:rsid w:val="000F1305"/>
    <w:rsid w:val="000F19D8"/>
    <w:rsid w:val="000F7851"/>
    <w:rsid w:val="00103A9B"/>
    <w:rsid w:val="00104E23"/>
    <w:rsid w:val="001076DC"/>
    <w:rsid w:val="00107B6B"/>
    <w:rsid w:val="00111B0C"/>
    <w:rsid w:val="00113E70"/>
    <w:rsid w:val="00117CD2"/>
    <w:rsid w:val="00120D6C"/>
    <w:rsid w:val="00121D09"/>
    <w:rsid w:val="00122669"/>
    <w:rsid w:val="00122698"/>
    <w:rsid w:val="00123BF3"/>
    <w:rsid w:val="001257EC"/>
    <w:rsid w:val="00126012"/>
    <w:rsid w:val="00133D33"/>
    <w:rsid w:val="00134D64"/>
    <w:rsid w:val="00135A30"/>
    <w:rsid w:val="0013612C"/>
    <w:rsid w:val="00137FF6"/>
    <w:rsid w:val="00140667"/>
    <w:rsid w:val="00141650"/>
    <w:rsid w:val="00152E53"/>
    <w:rsid w:val="00155E53"/>
    <w:rsid w:val="001625AD"/>
    <w:rsid w:val="00162967"/>
    <w:rsid w:val="00162A12"/>
    <w:rsid w:val="00166530"/>
    <w:rsid w:val="00181508"/>
    <w:rsid w:val="001832BD"/>
    <w:rsid w:val="00184E36"/>
    <w:rsid w:val="001922F4"/>
    <w:rsid w:val="001943B5"/>
    <w:rsid w:val="00194C5B"/>
    <w:rsid w:val="00195134"/>
    <w:rsid w:val="001A145B"/>
    <w:rsid w:val="001A2684"/>
    <w:rsid w:val="001A674C"/>
    <w:rsid w:val="001B3B24"/>
    <w:rsid w:val="001B46F8"/>
    <w:rsid w:val="001C0971"/>
    <w:rsid w:val="001C0F98"/>
    <w:rsid w:val="001C2A42"/>
    <w:rsid w:val="001C2B5C"/>
    <w:rsid w:val="001C4F50"/>
    <w:rsid w:val="001D43D7"/>
    <w:rsid w:val="001D63ED"/>
    <w:rsid w:val="001D7348"/>
    <w:rsid w:val="001E035B"/>
    <w:rsid w:val="001E0961"/>
    <w:rsid w:val="001E140F"/>
    <w:rsid w:val="001E3EAE"/>
    <w:rsid w:val="001E6F32"/>
    <w:rsid w:val="001F2145"/>
    <w:rsid w:val="001F39F4"/>
    <w:rsid w:val="001F6262"/>
    <w:rsid w:val="001F64A2"/>
    <w:rsid w:val="001F67B0"/>
    <w:rsid w:val="001F7B3D"/>
    <w:rsid w:val="00204F24"/>
    <w:rsid w:val="0020575F"/>
    <w:rsid w:val="00205F9F"/>
    <w:rsid w:val="00206A92"/>
    <w:rsid w:val="00210338"/>
    <w:rsid w:val="002115FC"/>
    <w:rsid w:val="00212184"/>
    <w:rsid w:val="00212FB2"/>
    <w:rsid w:val="0021423C"/>
    <w:rsid w:val="00214ED6"/>
    <w:rsid w:val="00230D00"/>
    <w:rsid w:val="00231364"/>
    <w:rsid w:val="00231DF7"/>
    <w:rsid w:val="00231FD1"/>
    <w:rsid w:val="00233479"/>
    <w:rsid w:val="002339E0"/>
    <w:rsid w:val="00233CF8"/>
    <w:rsid w:val="0023575D"/>
    <w:rsid w:val="0023626F"/>
    <w:rsid w:val="00237148"/>
    <w:rsid w:val="00241D35"/>
    <w:rsid w:val="0024222D"/>
    <w:rsid w:val="00244B0E"/>
    <w:rsid w:val="00244F6C"/>
    <w:rsid w:val="00247165"/>
    <w:rsid w:val="002532C5"/>
    <w:rsid w:val="002546AE"/>
    <w:rsid w:val="002567DC"/>
    <w:rsid w:val="00256F45"/>
    <w:rsid w:val="002575FC"/>
    <w:rsid w:val="0026010A"/>
    <w:rsid w:val="00260C03"/>
    <w:rsid w:val="0026540E"/>
    <w:rsid w:val="002722D4"/>
    <w:rsid w:val="00275123"/>
    <w:rsid w:val="002759F4"/>
    <w:rsid w:val="00282240"/>
    <w:rsid w:val="0028280B"/>
    <w:rsid w:val="002948AD"/>
    <w:rsid w:val="0029668A"/>
    <w:rsid w:val="0029739C"/>
    <w:rsid w:val="00297A60"/>
    <w:rsid w:val="002A01CC"/>
    <w:rsid w:val="002A61B1"/>
    <w:rsid w:val="002A663C"/>
    <w:rsid w:val="002B2D8B"/>
    <w:rsid w:val="002B303C"/>
    <w:rsid w:val="002B444B"/>
    <w:rsid w:val="002B46A8"/>
    <w:rsid w:val="002B5887"/>
    <w:rsid w:val="002B6D6C"/>
    <w:rsid w:val="002B7E83"/>
    <w:rsid w:val="002C0E27"/>
    <w:rsid w:val="002C3040"/>
    <w:rsid w:val="002C6ED0"/>
    <w:rsid w:val="002D022D"/>
    <w:rsid w:val="002D24BB"/>
    <w:rsid w:val="002F29AA"/>
    <w:rsid w:val="002F2AF7"/>
    <w:rsid w:val="002F7E1C"/>
    <w:rsid w:val="00301A75"/>
    <w:rsid w:val="00302F70"/>
    <w:rsid w:val="0030336F"/>
    <w:rsid w:val="0030375E"/>
    <w:rsid w:val="0030660C"/>
    <w:rsid w:val="00312A30"/>
    <w:rsid w:val="00315423"/>
    <w:rsid w:val="00316323"/>
    <w:rsid w:val="00320F72"/>
    <w:rsid w:val="0032463E"/>
    <w:rsid w:val="0032465A"/>
    <w:rsid w:val="00326224"/>
    <w:rsid w:val="003266CC"/>
    <w:rsid w:val="00337EE4"/>
    <w:rsid w:val="00340FFD"/>
    <w:rsid w:val="00343F4A"/>
    <w:rsid w:val="003471AF"/>
    <w:rsid w:val="003506B1"/>
    <w:rsid w:val="00356AC7"/>
    <w:rsid w:val="003609FA"/>
    <w:rsid w:val="00361AD5"/>
    <w:rsid w:val="00361D45"/>
    <w:rsid w:val="00367B4F"/>
    <w:rsid w:val="003710C8"/>
    <w:rsid w:val="003722CE"/>
    <w:rsid w:val="00372AAA"/>
    <w:rsid w:val="003750BE"/>
    <w:rsid w:val="003840A5"/>
    <w:rsid w:val="00387B9D"/>
    <w:rsid w:val="00390D13"/>
    <w:rsid w:val="0039352F"/>
    <w:rsid w:val="0039364F"/>
    <w:rsid w:val="00396686"/>
    <w:rsid w:val="0039778E"/>
    <w:rsid w:val="003A37B8"/>
    <w:rsid w:val="003B4941"/>
    <w:rsid w:val="003B6A2E"/>
    <w:rsid w:val="003C5714"/>
    <w:rsid w:val="003C631C"/>
    <w:rsid w:val="003C6530"/>
    <w:rsid w:val="003C6B9F"/>
    <w:rsid w:val="003C6E2A"/>
    <w:rsid w:val="003D0299"/>
    <w:rsid w:val="003D32BE"/>
    <w:rsid w:val="003D545F"/>
    <w:rsid w:val="003D763A"/>
    <w:rsid w:val="003E1EE7"/>
    <w:rsid w:val="003E3FE3"/>
    <w:rsid w:val="003E6D80"/>
    <w:rsid w:val="003E7A9C"/>
    <w:rsid w:val="003F05FA"/>
    <w:rsid w:val="003F244A"/>
    <w:rsid w:val="003F30B8"/>
    <w:rsid w:val="003F4C45"/>
    <w:rsid w:val="003F5F7B"/>
    <w:rsid w:val="003F7D64"/>
    <w:rsid w:val="00400BB2"/>
    <w:rsid w:val="00401F7D"/>
    <w:rsid w:val="0041177B"/>
    <w:rsid w:val="00414300"/>
    <w:rsid w:val="0041793D"/>
    <w:rsid w:val="0042309D"/>
    <w:rsid w:val="00425C67"/>
    <w:rsid w:val="00427E7A"/>
    <w:rsid w:val="00431C07"/>
    <w:rsid w:val="00433BBF"/>
    <w:rsid w:val="004344E6"/>
    <w:rsid w:val="00436C49"/>
    <w:rsid w:val="00444C74"/>
    <w:rsid w:val="00445366"/>
    <w:rsid w:val="00447F5B"/>
    <w:rsid w:val="004527BE"/>
    <w:rsid w:val="00456549"/>
    <w:rsid w:val="004604A0"/>
    <w:rsid w:val="00461DB0"/>
    <w:rsid w:val="00462CCA"/>
    <w:rsid w:val="00463926"/>
    <w:rsid w:val="00464C9A"/>
    <w:rsid w:val="00474AB4"/>
    <w:rsid w:val="00474F3D"/>
    <w:rsid w:val="0047542A"/>
    <w:rsid w:val="00477E3A"/>
    <w:rsid w:val="004835A9"/>
    <w:rsid w:val="00483E5F"/>
    <w:rsid w:val="0048425A"/>
    <w:rsid w:val="00485FF9"/>
    <w:rsid w:val="004907F0"/>
    <w:rsid w:val="0049140B"/>
    <w:rsid w:val="004923A5"/>
    <w:rsid w:val="00496197"/>
    <w:rsid w:val="00496BFB"/>
    <w:rsid w:val="004A15C7"/>
    <w:rsid w:val="004B013B"/>
    <w:rsid w:val="004B112B"/>
    <w:rsid w:val="004B7CDC"/>
    <w:rsid w:val="004C01E4"/>
    <w:rsid w:val="004C086C"/>
    <w:rsid w:val="004C1A3F"/>
    <w:rsid w:val="004C1F56"/>
    <w:rsid w:val="004C23EB"/>
    <w:rsid w:val="004C27BC"/>
    <w:rsid w:val="004D15F3"/>
    <w:rsid w:val="004D21CA"/>
    <w:rsid w:val="004D5311"/>
    <w:rsid w:val="004D5DCC"/>
    <w:rsid w:val="004E22F1"/>
    <w:rsid w:val="004F10AF"/>
    <w:rsid w:val="004F11A4"/>
    <w:rsid w:val="004F2389"/>
    <w:rsid w:val="004F304D"/>
    <w:rsid w:val="004F61BE"/>
    <w:rsid w:val="004F66B1"/>
    <w:rsid w:val="004F71D3"/>
    <w:rsid w:val="00505D2E"/>
    <w:rsid w:val="00511C07"/>
    <w:rsid w:val="00516B59"/>
    <w:rsid w:val="005173A6"/>
    <w:rsid w:val="00520BAA"/>
    <w:rsid w:val="005214C8"/>
    <w:rsid w:val="00522ABA"/>
    <w:rsid w:val="00525208"/>
    <w:rsid w:val="005257A5"/>
    <w:rsid w:val="005264C0"/>
    <w:rsid w:val="00526A8A"/>
    <w:rsid w:val="00531DF2"/>
    <w:rsid w:val="00540D5A"/>
    <w:rsid w:val="005442EE"/>
    <w:rsid w:val="00547353"/>
    <w:rsid w:val="005474E7"/>
    <w:rsid w:val="005512A3"/>
    <w:rsid w:val="005578CE"/>
    <w:rsid w:val="00562781"/>
    <w:rsid w:val="00563309"/>
    <w:rsid w:val="00566E2B"/>
    <w:rsid w:val="005673CA"/>
    <w:rsid w:val="0057271C"/>
    <w:rsid w:val="00572845"/>
    <w:rsid w:val="00576986"/>
    <w:rsid w:val="00581D6B"/>
    <w:rsid w:val="00585DF7"/>
    <w:rsid w:val="00592772"/>
    <w:rsid w:val="00592C8D"/>
    <w:rsid w:val="00593667"/>
    <w:rsid w:val="0059574A"/>
    <w:rsid w:val="0059798E"/>
    <w:rsid w:val="005A1B9B"/>
    <w:rsid w:val="005A4513"/>
    <w:rsid w:val="005A6751"/>
    <w:rsid w:val="005B0222"/>
    <w:rsid w:val="005B092E"/>
    <w:rsid w:val="005B152C"/>
    <w:rsid w:val="005B16A5"/>
    <w:rsid w:val="005B1EE0"/>
    <w:rsid w:val="005B2B24"/>
    <w:rsid w:val="005B35EB"/>
    <w:rsid w:val="005B4425"/>
    <w:rsid w:val="005B4B94"/>
    <w:rsid w:val="005C353F"/>
    <w:rsid w:val="005C3EE8"/>
    <w:rsid w:val="005C3F76"/>
    <w:rsid w:val="005C75AF"/>
    <w:rsid w:val="005D1DDE"/>
    <w:rsid w:val="005D2C1C"/>
    <w:rsid w:val="005D34F9"/>
    <w:rsid w:val="005D4190"/>
    <w:rsid w:val="005D67A3"/>
    <w:rsid w:val="005E2988"/>
    <w:rsid w:val="005E3085"/>
    <w:rsid w:val="005E6B82"/>
    <w:rsid w:val="005F2054"/>
    <w:rsid w:val="005F51E1"/>
    <w:rsid w:val="005F630E"/>
    <w:rsid w:val="00603E08"/>
    <w:rsid w:val="00611C80"/>
    <w:rsid w:val="00611CB8"/>
    <w:rsid w:val="00613B21"/>
    <w:rsid w:val="00614BE2"/>
    <w:rsid w:val="00620692"/>
    <w:rsid w:val="006242CA"/>
    <w:rsid w:val="00626A70"/>
    <w:rsid w:val="00627507"/>
    <w:rsid w:val="00633717"/>
    <w:rsid w:val="006344E1"/>
    <w:rsid w:val="006361FD"/>
    <w:rsid w:val="00636300"/>
    <w:rsid w:val="00640862"/>
    <w:rsid w:val="006413BC"/>
    <w:rsid w:val="00644843"/>
    <w:rsid w:val="00647324"/>
    <w:rsid w:val="00651EB4"/>
    <w:rsid w:val="006526CA"/>
    <w:rsid w:val="006545C4"/>
    <w:rsid w:val="00654B7E"/>
    <w:rsid w:val="00661971"/>
    <w:rsid w:val="00661CE8"/>
    <w:rsid w:val="006623D9"/>
    <w:rsid w:val="00662882"/>
    <w:rsid w:val="0066550C"/>
    <w:rsid w:val="00665C35"/>
    <w:rsid w:val="006716F2"/>
    <w:rsid w:val="006751DE"/>
    <w:rsid w:val="00680DA0"/>
    <w:rsid w:val="00682BF2"/>
    <w:rsid w:val="006859CE"/>
    <w:rsid w:val="00687237"/>
    <w:rsid w:val="0068730F"/>
    <w:rsid w:val="00691270"/>
    <w:rsid w:val="00694640"/>
    <w:rsid w:val="00694BA8"/>
    <w:rsid w:val="006A037C"/>
    <w:rsid w:val="006A14EE"/>
    <w:rsid w:val="006A36F4"/>
    <w:rsid w:val="006A406F"/>
    <w:rsid w:val="006A5D3A"/>
    <w:rsid w:val="006B4616"/>
    <w:rsid w:val="006C23D4"/>
    <w:rsid w:val="006C475E"/>
    <w:rsid w:val="006C7BB0"/>
    <w:rsid w:val="006D05ED"/>
    <w:rsid w:val="006D3129"/>
    <w:rsid w:val="006D3237"/>
    <w:rsid w:val="006D41A1"/>
    <w:rsid w:val="006E2E37"/>
    <w:rsid w:val="006E3CF1"/>
    <w:rsid w:val="006E5BD6"/>
    <w:rsid w:val="006E60F8"/>
    <w:rsid w:val="006E66B6"/>
    <w:rsid w:val="006E7E80"/>
    <w:rsid w:val="006F48CA"/>
    <w:rsid w:val="006F62D0"/>
    <w:rsid w:val="006F64DD"/>
    <w:rsid w:val="006F7F5D"/>
    <w:rsid w:val="00702A68"/>
    <w:rsid w:val="00706270"/>
    <w:rsid w:val="00710712"/>
    <w:rsid w:val="007129E5"/>
    <w:rsid w:val="00714EDA"/>
    <w:rsid w:val="00715127"/>
    <w:rsid w:val="00715E8E"/>
    <w:rsid w:val="007172B0"/>
    <w:rsid w:val="00723580"/>
    <w:rsid w:val="00723755"/>
    <w:rsid w:val="00724AE2"/>
    <w:rsid w:val="00730B5C"/>
    <w:rsid w:val="0073136C"/>
    <w:rsid w:val="00731F0F"/>
    <w:rsid w:val="00732CB1"/>
    <w:rsid w:val="00733250"/>
    <w:rsid w:val="00735951"/>
    <w:rsid w:val="00741404"/>
    <w:rsid w:val="007449E5"/>
    <w:rsid w:val="00747FF0"/>
    <w:rsid w:val="00750C45"/>
    <w:rsid w:val="00760D5B"/>
    <w:rsid w:val="00760DBA"/>
    <w:rsid w:val="007612E2"/>
    <w:rsid w:val="00764D4E"/>
    <w:rsid w:val="00765A1F"/>
    <w:rsid w:val="00775B6D"/>
    <w:rsid w:val="00776D68"/>
    <w:rsid w:val="00783D19"/>
    <w:rsid w:val="007850EE"/>
    <w:rsid w:val="00785B95"/>
    <w:rsid w:val="00790AAD"/>
    <w:rsid w:val="00790E96"/>
    <w:rsid w:val="00793366"/>
    <w:rsid w:val="007971FF"/>
    <w:rsid w:val="007A1B05"/>
    <w:rsid w:val="007A2557"/>
    <w:rsid w:val="007A3AD2"/>
    <w:rsid w:val="007A4070"/>
    <w:rsid w:val="007A5793"/>
    <w:rsid w:val="007A716F"/>
    <w:rsid w:val="007B046F"/>
    <w:rsid w:val="007B270A"/>
    <w:rsid w:val="007B274F"/>
    <w:rsid w:val="007C0695"/>
    <w:rsid w:val="007C419A"/>
    <w:rsid w:val="007C4CC8"/>
    <w:rsid w:val="007C5426"/>
    <w:rsid w:val="007C5798"/>
    <w:rsid w:val="007D209C"/>
    <w:rsid w:val="007D24EB"/>
    <w:rsid w:val="007D2A92"/>
    <w:rsid w:val="007D4832"/>
    <w:rsid w:val="007E21B2"/>
    <w:rsid w:val="007E2C4E"/>
    <w:rsid w:val="007E2DBA"/>
    <w:rsid w:val="007F04BC"/>
    <w:rsid w:val="007F1905"/>
    <w:rsid w:val="00801300"/>
    <w:rsid w:val="00802C64"/>
    <w:rsid w:val="0080523A"/>
    <w:rsid w:val="00805AD9"/>
    <w:rsid w:val="00805E52"/>
    <w:rsid w:val="008061D0"/>
    <w:rsid w:val="00806EF1"/>
    <w:rsid w:val="00810B38"/>
    <w:rsid w:val="00820330"/>
    <w:rsid w:val="008204C7"/>
    <w:rsid w:val="00820992"/>
    <w:rsid w:val="00823602"/>
    <w:rsid w:val="008250D7"/>
    <w:rsid w:val="008255F5"/>
    <w:rsid w:val="0083014E"/>
    <w:rsid w:val="0083214A"/>
    <w:rsid w:val="00834220"/>
    <w:rsid w:val="00836894"/>
    <w:rsid w:val="00845723"/>
    <w:rsid w:val="00851EF9"/>
    <w:rsid w:val="008577FD"/>
    <w:rsid w:val="00857C2D"/>
    <w:rsid w:val="00860B03"/>
    <w:rsid w:val="00860EEA"/>
    <w:rsid w:val="008612EE"/>
    <w:rsid w:val="00862BCE"/>
    <w:rsid w:val="00862FF4"/>
    <w:rsid w:val="0086497A"/>
    <w:rsid w:val="008713A1"/>
    <w:rsid w:val="008737A0"/>
    <w:rsid w:val="00873D9C"/>
    <w:rsid w:val="008748BE"/>
    <w:rsid w:val="008754AB"/>
    <w:rsid w:val="00876A02"/>
    <w:rsid w:val="00876F03"/>
    <w:rsid w:val="0088060C"/>
    <w:rsid w:val="00891107"/>
    <w:rsid w:val="00893576"/>
    <w:rsid w:val="00893E73"/>
    <w:rsid w:val="00893F30"/>
    <w:rsid w:val="00894976"/>
    <w:rsid w:val="00895F5B"/>
    <w:rsid w:val="008A696B"/>
    <w:rsid w:val="008A79F4"/>
    <w:rsid w:val="008B02DC"/>
    <w:rsid w:val="008B2698"/>
    <w:rsid w:val="008B57CE"/>
    <w:rsid w:val="008C26DE"/>
    <w:rsid w:val="008C5364"/>
    <w:rsid w:val="008C67D8"/>
    <w:rsid w:val="008D1252"/>
    <w:rsid w:val="008D2225"/>
    <w:rsid w:val="008D4752"/>
    <w:rsid w:val="008D67E2"/>
    <w:rsid w:val="008E271C"/>
    <w:rsid w:val="008E418E"/>
    <w:rsid w:val="008E5BC6"/>
    <w:rsid w:val="008E6A25"/>
    <w:rsid w:val="008E790E"/>
    <w:rsid w:val="008E7A1B"/>
    <w:rsid w:val="008F5193"/>
    <w:rsid w:val="009013A7"/>
    <w:rsid w:val="009017FB"/>
    <w:rsid w:val="009017FC"/>
    <w:rsid w:val="009020E3"/>
    <w:rsid w:val="00902601"/>
    <w:rsid w:val="009032CC"/>
    <w:rsid w:val="0090506B"/>
    <w:rsid w:val="009050C9"/>
    <w:rsid w:val="009066FC"/>
    <w:rsid w:val="00907C66"/>
    <w:rsid w:val="00911C1B"/>
    <w:rsid w:val="009140A3"/>
    <w:rsid w:val="009144A2"/>
    <w:rsid w:val="0091510C"/>
    <w:rsid w:val="009259AC"/>
    <w:rsid w:val="00926F38"/>
    <w:rsid w:val="00934301"/>
    <w:rsid w:val="00936CD1"/>
    <w:rsid w:val="009375A5"/>
    <w:rsid w:val="00941747"/>
    <w:rsid w:val="00941EFB"/>
    <w:rsid w:val="00946DFA"/>
    <w:rsid w:val="00947AFB"/>
    <w:rsid w:val="00951D7D"/>
    <w:rsid w:val="00954AD6"/>
    <w:rsid w:val="009630C7"/>
    <w:rsid w:val="00967FDE"/>
    <w:rsid w:val="00972B55"/>
    <w:rsid w:val="009743B7"/>
    <w:rsid w:val="00975039"/>
    <w:rsid w:val="00977227"/>
    <w:rsid w:val="0098228B"/>
    <w:rsid w:val="009828DA"/>
    <w:rsid w:val="00985BAB"/>
    <w:rsid w:val="00991147"/>
    <w:rsid w:val="0099140D"/>
    <w:rsid w:val="00992661"/>
    <w:rsid w:val="00996803"/>
    <w:rsid w:val="00997BA5"/>
    <w:rsid w:val="009A470A"/>
    <w:rsid w:val="009B1B5F"/>
    <w:rsid w:val="009B6673"/>
    <w:rsid w:val="009B79B6"/>
    <w:rsid w:val="009C191B"/>
    <w:rsid w:val="009C2BD6"/>
    <w:rsid w:val="009C4982"/>
    <w:rsid w:val="009D2F52"/>
    <w:rsid w:val="009D3199"/>
    <w:rsid w:val="009E16D2"/>
    <w:rsid w:val="009E1F32"/>
    <w:rsid w:val="009E776C"/>
    <w:rsid w:val="009F1153"/>
    <w:rsid w:val="009F133A"/>
    <w:rsid w:val="009F5A2E"/>
    <w:rsid w:val="009F7B3D"/>
    <w:rsid w:val="00A00473"/>
    <w:rsid w:val="00A0064E"/>
    <w:rsid w:val="00A00672"/>
    <w:rsid w:val="00A10946"/>
    <w:rsid w:val="00A132AD"/>
    <w:rsid w:val="00A1726E"/>
    <w:rsid w:val="00A204CF"/>
    <w:rsid w:val="00A21624"/>
    <w:rsid w:val="00A23D49"/>
    <w:rsid w:val="00A27004"/>
    <w:rsid w:val="00A273E6"/>
    <w:rsid w:val="00A30C29"/>
    <w:rsid w:val="00A34DD6"/>
    <w:rsid w:val="00A35980"/>
    <w:rsid w:val="00A36819"/>
    <w:rsid w:val="00A36989"/>
    <w:rsid w:val="00A43628"/>
    <w:rsid w:val="00A43AA3"/>
    <w:rsid w:val="00A4462D"/>
    <w:rsid w:val="00A47744"/>
    <w:rsid w:val="00A4783F"/>
    <w:rsid w:val="00A51213"/>
    <w:rsid w:val="00A54192"/>
    <w:rsid w:val="00A56DD6"/>
    <w:rsid w:val="00A56FD9"/>
    <w:rsid w:val="00A6035E"/>
    <w:rsid w:val="00A6144C"/>
    <w:rsid w:val="00A66617"/>
    <w:rsid w:val="00A671F8"/>
    <w:rsid w:val="00A673A4"/>
    <w:rsid w:val="00A724AE"/>
    <w:rsid w:val="00A73329"/>
    <w:rsid w:val="00A75785"/>
    <w:rsid w:val="00A8094B"/>
    <w:rsid w:val="00A82359"/>
    <w:rsid w:val="00A84007"/>
    <w:rsid w:val="00A865D2"/>
    <w:rsid w:val="00A94C20"/>
    <w:rsid w:val="00AA227F"/>
    <w:rsid w:val="00AA3BC7"/>
    <w:rsid w:val="00AA6FC8"/>
    <w:rsid w:val="00AA754A"/>
    <w:rsid w:val="00AB099E"/>
    <w:rsid w:val="00AB4328"/>
    <w:rsid w:val="00AB5628"/>
    <w:rsid w:val="00AC00C2"/>
    <w:rsid w:val="00AC41D1"/>
    <w:rsid w:val="00AC5872"/>
    <w:rsid w:val="00AD2473"/>
    <w:rsid w:val="00AD3716"/>
    <w:rsid w:val="00AD511F"/>
    <w:rsid w:val="00AD5F83"/>
    <w:rsid w:val="00AE0A2E"/>
    <w:rsid w:val="00AE354C"/>
    <w:rsid w:val="00AE6A2A"/>
    <w:rsid w:val="00AE77B7"/>
    <w:rsid w:val="00AF0C05"/>
    <w:rsid w:val="00AF4B07"/>
    <w:rsid w:val="00AF6186"/>
    <w:rsid w:val="00AF7A3A"/>
    <w:rsid w:val="00B009F4"/>
    <w:rsid w:val="00B160DB"/>
    <w:rsid w:val="00B20836"/>
    <w:rsid w:val="00B21BC1"/>
    <w:rsid w:val="00B235BB"/>
    <w:rsid w:val="00B25320"/>
    <w:rsid w:val="00B25943"/>
    <w:rsid w:val="00B25D3B"/>
    <w:rsid w:val="00B27A44"/>
    <w:rsid w:val="00B30BBF"/>
    <w:rsid w:val="00B33C03"/>
    <w:rsid w:val="00B36241"/>
    <w:rsid w:val="00B44E56"/>
    <w:rsid w:val="00B460E2"/>
    <w:rsid w:val="00B46543"/>
    <w:rsid w:val="00B46EB2"/>
    <w:rsid w:val="00B47D33"/>
    <w:rsid w:val="00B52BE0"/>
    <w:rsid w:val="00B54133"/>
    <w:rsid w:val="00B653B7"/>
    <w:rsid w:val="00B701ED"/>
    <w:rsid w:val="00B751F4"/>
    <w:rsid w:val="00B8086C"/>
    <w:rsid w:val="00B81366"/>
    <w:rsid w:val="00B840F7"/>
    <w:rsid w:val="00B842FE"/>
    <w:rsid w:val="00B85738"/>
    <w:rsid w:val="00B861B4"/>
    <w:rsid w:val="00B86DFE"/>
    <w:rsid w:val="00B90990"/>
    <w:rsid w:val="00B922FF"/>
    <w:rsid w:val="00B9281E"/>
    <w:rsid w:val="00B93925"/>
    <w:rsid w:val="00B95187"/>
    <w:rsid w:val="00BA08C1"/>
    <w:rsid w:val="00BA2D55"/>
    <w:rsid w:val="00BA56F3"/>
    <w:rsid w:val="00BA71B1"/>
    <w:rsid w:val="00BB0637"/>
    <w:rsid w:val="00BB345F"/>
    <w:rsid w:val="00BB5CA3"/>
    <w:rsid w:val="00BB68EA"/>
    <w:rsid w:val="00BC1C27"/>
    <w:rsid w:val="00BC1F03"/>
    <w:rsid w:val="00BC3B9F"/>
    <w:rsid w:val="00BC6BBF"/>
    <w:rsid w:val="00BD0937"/>
    <w:rsid w:val="00BD1572"/>
    <w:rsid w:val="00BD3917"/>
    <w:rsid w:val="00BD4A0D"/>
    <w:rsid w:val="00BD5A31"/>
    <w:rsid w:val="00BE14E3"/>
    <w:rsid w:val="00BE3774"/>
    <w:rsid w:val="00BE4112"/>
    <w:rsid w:val="00BE41E5"/>
    <w:rsid w:val="00BF1C28"/>
    <w:rsid w:val="00BF4109"/>
    <w:rsid w:val="00BF4B9C"/>
    <w:rsid w:val="00BF4CC3"/>
    <w:rsid w:val="00C00E59"/>
    <w:rsid w:val="00C054C7"/>
    <w:rsid w:val="00C057B5"/>
    <w:rsid w:val="00C066A6"/>
    <w:rsid w:val="00C123A0"/>
    <w:rsid w:val="00C149F0"/>
    <w:rsid w:val="00C1711F"/>
    <w:rsid w:val="00C22687"/>
    <w:rsid w:val="00C25983"/>
    <w:rsid w:val="00C32E4D"/>
    <w:rsid w:val="00C33307"/>
    <w:rsid w:val="00C333A0"/>
    <w:rsid w:val="00C36408"/>
    <w:rsid w:val="00C36A81"/>
    <w:rsid w:val="00C40307"/>
    <w:rsid w:val="00C41974"/>
    <w:rsid w:val="00C4327F"/>
    <w:rsid w:val="00C45616"/>
    <w:rsid w:val="00C53F4A"/>
    <w:rsid w:val="00C54125"/>
    <w:rsid w:val="00C559F9"/>
    <w:rsid w:val="00C55B54"/>
    <w:rsid w:val="00C6098E"/>
    <w:rsid w:val="00C6152C"/>
    <w:rsid w:val="00C71AFF"/>
    <w:rsid w:val="00C74810"/>
    <w:rsid w:val="00C76AB9"/>
    <w:rsid w:val="00C804A4"/>
    <w:rsid w:val="00C817CA"/>
    <w:rsid w:val="00C81ACF"/>
    <w:rsid w:val="00C83046"/>
    <w:rsid w:val="00C9021D"/>
    <w:rsid w:val="00C90D68"/>
    <w:rsid w:val="00C939FE"/>
    <w:rsid w:val="00CA4BDA"/>
    <w:rsid w:val="00CA7B03"/>
    <w:rsid w:val="00CA7C61"/>
    <w:rsid w:val="00CB13D1"/>
    <w:rsid w:val="00CB1F66"/>
    <w:rsid w:val="00CB2951"/>
    <w:rsid w:val="00CB7AE3"/>
    <w:rsid w:val="00CC4935"/>
    <w:rsid w:val="00CC63B0"/>
    <w:rsid w:val="00CD0577"/>
    <w:rsid w:val="00CD282B"/>
    <w:rsid w:val="00CD2914"/>
    <w:rsid w:val="00CD4878"/>
    <w:rsid w:val="00CD4C35"/>
    <w:rsid w:val="00CD7369"/>
    <w:rsid w:val="00CD7C3A"/>
    <w:rsid w:val="00CE0B0E"/>
    <w:rsid w:val="00CE0E9C"/>
    <w:rsid w:val="00CE3831"/>
    <w:rsid w:val="00CE3EBB"/>
    <w:rsid w:val="00CE649B"/>
    <w:rsid w:val="00CF1C8C"/>
    <w:rsid w:val="00CF3CA7"/>
    <w:rsid w:val="00CF552B"/>
    <w:rsid w:val="00D00ABB"/>
    <w:rsid w:val="00D02781"/>
    <w:rsid w:val="00D02EEC"/>
    <w:rsid w:val="00D03551"/>
    <w:rsid w:val="00D03C41"/>
    <w:rsid w:val="00D06A63"/>
    <w:rsid w:val="00D07650"/>
    <w:rsid w:val="00D07E0E"/>
    <w:rsid w:val="00D10474"/>
    <w:rsid w:val="00D11478"/>
    <w:rsid w:val="00D15724"/>
    <w:rsid w:val="00D15ED0"/>
    <w:rsid w:val="00D21B3E"/>
    <w:rsid w:val="00D21C26"/>
    <w:rsid w:val="00D21FED"/>
    <w:rsid w:val="00D24251"/>
    <w:rsid w:val="00D25CD7"/>
    <w:rsid w:val="00D30CB9"/>
    <w:rsid w:val="00D3175F"/>
    <w:rsid w:val="00D32BAA"/>
    <w:rsid w:val="00D343E2"/>
    <w:rsid w:val="00D361A2"/>
    <w:rsid w:val="00D406AC"/>
    <w:rsid w:val="00D43371"/>
    <w:rsid w:val="00D44C2E"/>
    <w:rsid w:val="00D45414"/>
    <w:rsid w:val="00D457ED"/>
    <w:rsid w:val="00D465A0"/>
    <w:rsid w:val="00D52993"/>
    <w:rsid w:val="00D54FF1"/>
    <w:rsid w:val="00D559DE"/>
    <w:rsid w:val="00D55E2C"/>
    <w:rsid w:val="00D566BD"/>
    <w:rsid w:val="00D57A4D"/>
    <w:rsid w:val="00D60AA7"/>
    <w:rsid w:val="00D62A67"/>
    <w:rsid w:val="00D6435F"/>
    <w:rsid w:val="00D74670"/>
    <w:rsid w:val="00D75E28"/>
    <w:rsid w:val="00D772C2"/>
    <w:rsid w:val="00D8008E"/>
    <w:rsid w:val="00D82C45"/>
    <w:rsid w:val="00D85105"/>
    <w:rsid w:val="00D908A8"/>
    <w:rsid w:val="00D9423E"/>
    <w:rsid w:val="00D945D1"/>
    <w:rsid w:val="00D977B6"/>
    <w:rsid w:val="00DA3634"/>
    <w:rsid w:val="00DA47A0"/>
    <w:rsid w:val="00DA4A31"/>
    <w:rsid w:val="00DA78B4"/>
    <w:rsid w:val="00DA7B04"/>
    <w:rsid w:val="00DB36C2"/>
    <w:rsid w:val="00DB5CBD"/>
    <w:rsid w:val="00DB7641"/>
    <w:rsid w:val="00DC169B"/>
    <w:rsid w:val="00DC2AB9"/>
    <w:rsid w:val="00DC3283"/>
    <w:rsid w:val="00DC63F0"/>
    <w:rsid w:val="00DD0556"/>
    <w:rsid w:val="00DD5382"/>
    <w:rsid w:val="00DD6EE5"/>
    <w:rsid w:val="00DE12C3"/>
    <w:rsid w:val="00DE2362"/>
    <w:rsid w:val="00DE386C"/>
    <w:rsid w:val="00DE4D35"/>
    <w:rsid w:val="00DF098B"/>
    <w:rsid w:val="00DF0A86"/>
    <w:rsid w:val="00DF11C4"/>
    <w:rsid w:val="00DF210C"/>
    <w:rsid w:val="00DF4B6A"/>
    <w:rsid w:val="00E02C09"/>
    <w:rsid w:val="00E04D59"/>
    <w:rsid w:val="00E07DA1"/>
    <w:rsid w:val="00E123CB"/>
    <w:rsid w:val="00E20AC4"/>
    <w:rsid w:val="00E20E13"/>
    <w:rsid w:val="00E21DBC"/>
    <w:rsid w:val="00E275D7"/>
    <w:rsid w:val="00E27DBE"/>
    <w:rsid w:val="00E32801"/>
    <w:rsid w:val="00E32AB1"/>
    <w:rsid w:val="00E349EC"/>
    <w:rsid w:val="00E36C71"/>
    <w:rsid w:val="00E40404"/>
    <w:rsid w:val="00E43030"/>
    <w:rsid w:val="00E459C6"/>
    <w:rsid w:val="00E47286"/>
    <w:rsid w:val="00E47589"/>
    <w:rsid w:val="00E64915"/>
    <w:rsid w:val="00E651F4"/>
    <w:rsid w:val="00E661D4"/>
    <w:rsid w:val="00E70091"/>
    <w:rsid w:val="00E720F5"/>
    <w:rsid w:val="00E74970"/>
    <w:rsid w:val="00E76465"/>
    <w:rsid w:val="00E76D47"/>
    <w:rsid w:val="00E7703D"/>
    <w:rsid w:val="00E816BB"/>
    <w:rsid w:val="00E81720"/>
    <w:rsid w:val="00E82134"/>
    <w:rsid w:val="00E849F7"/>
    <w:rsid w:val="00E8705D"/>
    <w:rsid w:val="00E87C9A"/>
    <w:rsid w:val="00E90302"/>
    <w:rsid w:val="00E97396"/>
    <w:rsid w:val="00EA185E"/>
    <w:rsid w:val="00EA592A"/>
    <w:rsid w:val="00EA72B9"/>
    <w:rsid w:val="00EB14E4"/>
    <w:rsid w:val="00EB182B"/>
    <w:rsid w:val="00EB32A5"/>
    <w:rsid w:val="00EB34ED"/>
    <w:rsid w:val="00EB4A37"/>
    <w:rsid w:val="00EB7BE0"/>
    <w:rsid w:val="00EC0896"/>
    <w:rsid w:val="00EC30EB"/>
    <w:rsid w:val="00EC315E"/>
    <w:rsid w:val="00EC48B7"/>
    <w:rsid w:val="00EC58D1"/>
    <w:rsid w:val="00ED077C"/>
    <w:rsid w:val="00ED1190"/>
    <w:rsid w:val="00ED527B"/>
    <w:rsid w:val="00ED6544"/>
    <w:rsid w:val="00EE0277"/>
    <w:rsid w:val="00EE3E00"/>
    <w:rsid w:val="00EE5DD2"/>
    <w:rsid w:val="00EE5F4D"/>
    <w:rsid w:val="00EF14E9"/>
    <w:rsid w:val="00EF348F"/>
    <w:rsid w:val="00EF6238"/>
    <w:rsid w:val="00F009CF"/>
    <w:rsid w:val="00F00A79"/>
    <w:rsid w:val="00F00E86"/>
    <w:rsid w:val="00F07C1E"/>
    <w:rsid w:val="00F105DB"/>
    <w:rsid w:val="00F1318E"/>
    <w:rsid w:val="00F132BC"/>
    <w:rsid w:val="00F13D80"/>
    <w:rsid w:val="00F16AAA"/>
    <w:rsid w:val="00F16AE8"/>
    <w:rsid w:val="00F16CFB"/>
    <w:rsid w:val="00F21161"/>
    <w:rsid w:val="00F218EF"/>
    <w:rsid w:val="00F21BC7"/>
    <w:rsid w:val="00F24FA9"/>
    <w:rsid w:val="00F25EFC"/>
    <w:rsid w:val="00F266A2"/>
    <w:rsid w:val="00F27D13"/>
    <w:rsid w:val="00F32269"/>
    <w:rsid w:val="00F34E46"/>
    <w:rsid w:val="00F35DD8"/>
    <w:rsid w:val="00F56A6F"/>
    <w:rsid w:val="00F5709C"/>
    <w:rsid w:val="00F61B6F"/>
    <w:rsid w:val="00F626DA"/>
    <w:rsid w:val="00F64EF1"/>
    <w:rsid w:val="00F659F3"/>
    <w:rsid w:val="00F74419"/>
    <w:rsid w:val="00F83589"/>
    <w:rsid w:val="00F83A64"/>
    <w:rsid w:val="00F8765F"/>
    <w:rsid w:val="00F90767"/>
    <w:rsid w:val="00F912E4"/>
    <w:rsid w:val="00F94531"/>
    <w:rsid w:val="00F95636"/>
    <w:rsid w:val="00F9588E"/>
    <w:rsid w:val="00FA685B"/>
    <w:rsid w:val="00FB0C01"/>
    <w:rsid w:val="00FB744B"/>
    <w:rsid w:val="00FC18F2"/>
    <w:rsid w:val="00FC39E5"/>
    <w:rsid w:val="00FC3A78"/>
    <w:rsid w:val="00FC6A94"/>
    <w:rsid w:val="00FD1005"/>
    <w:rsid w:val="00FD5A8B"/>
    <w:rsid w:val="00FD61AA"/>
    <w:rsid w:val="00FD6C75"/>
    <w:rsid w:val="00FD7649"/>
    <w:rsid w:val="00FE5691"/>
    <w:rsid w:val="00FE71B3"/>
    <w:rsid w:val="00FF42C5"/>
    <w:rsid w:val="00FF5AD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E1D7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8" w:defSemiHidden="0" w:defUnhideWhenUsed="0" w:defQFormat="0" w:count="371">
    <w:lsdException w:name="Normal" w:uiPriority="0"/>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lsdException w:name="toa heading" w:semiHidden="1" w:unhideWhenUsed="1"/>
    <w:lsdException w:name="List" w:semiHidden="1" w:unhideWhenUsed="1"/>
    <w:lsdException w:name="List Bullet" w:semiHidden="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lsdException w:name="List Continue 4" w:semiHidden="1"/>
    <w:lsdException w:name="List Continue 5" w:semiHidden="1"/>
    <w:lsdException w:name="Message Header" w:semiHidden="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rsid w:val="00D406AC"/>
    <w:rPr>
      <w:sz w:val="24"/>
      <w:szCs w:val="24"/>
      <w:lang w:val="fr-FR"/>
    </w:rPr>
  </w:style>
  <w:style w:type="paragraph" w:styleId="Balk1">
    <w:name w:val="heading 1"/>
    <w:basedOn w:val="Normal"/>
    <w:next w:val="Normal"/>
    <w:link w:val="Balk1Char"/>
    <w:uiPriority w:val="98"/>
    <w:semiHidden/>
    <w:rsid w:val="00D406AC"/>
    <w:pPr>
      <w:spacing w:before="480"/>
      <w:contextualSpacing/>
      <w:outlineLvl w:val="0"/>
    </w:pPr>
    <w:rPr>
      <w:rFonts w:asciiTheme="majorHAnsi" w:eastAsiaTheme="majorEastAsia" w:hAnsiTheme="majorHAnsi" w:cstheme="majorBidi"/>
      <w:b/>
      <w:bCs/>
      <w:color w:val="333333"/>
      <w:sz w:val="28"/>
      <w:szCs w:val="28"/>
    </w:rPr>
  </w:style>
  <w:style w:type="paragraph" w:styleId="Balk2">
    <w:name w:val="heading 2"/>
    <w:basedOn w:val="Normal"/>
    <w:next w:val="Normal"/>
    <w:link w:val="Balk2Char"/>
    <w:uiPriority w:val="98"/>
    <w:semiHidden/>
    <w:rsid w:val="00D406AC"/>
    <w:pPr>
      <w:spacing w:before="200"/>
      <w:outlineLvl w:val="1"/>
    </w:pPr>
    <w:rPr>
      <w:rFonts w:asciiTheme="majorHAnsi" w:eastAsiaTheme="majorEastAsia" w:hAnsiTheme="majorHAnsi" w:cstheme="majorBidi"/>
      <w:b/>
      <w:bCs/>
      <w:color w:val="4D4D4D"/>
      <w:sz w:val="26"/>
      <w:szCs w:val="26"/>
    </w:rPr>
  </w:style>
  <w:style w:type="paragraph" w:styleId="Balk3">
    <w:name w:val="heading 3"/>
    <w:basedOn w:val="Normal"/>
    <w:next w:val="Normal"/>
    <w:link w:val="Balk3Char"/>
    <w:uiPriority w:val="98"/>
    <w:semiHidden/>
    <w:rsid w:val="00D406AC"/>
    <w:pPr>
      <w:spacing w:before="200" w:line="271" w:lineRule="auto"/>
      <w:outlineLvl w:val="2"/>
    </w:pPr>
    <w:rPr>
      <w:rFonts w:asciiTheme="majorHAnsi" w:eastAsiaTheme="majorEastAsia" w:hAnsiTheme="majorHAnsi" w:cstheme="majorBidi"/>
      <w:b/>
      <w:bCs/>
      <w:color w:val="5F5F5F"/>
      <w:sz w:val="22"/>
      <w:szCs w:val="22"/>
    </w:rPr>
  </w:style>
  <w:style w:type="paragraph" w:styleId="Balk4">
    <w:name w:val="heading 4"/>
    <w:basedOn w:val="Normal"/>
    <w:next w:val="Normal"/>
    <w:link w:val="Balk4Char"/>
    <w:uiPriority w:val="98"/>
    <w:semiHidden/>
    <w:rsid w:val="00D406AC"/>
    <w:pPr>
      <w:spacing w:before="200"/>
      <w:outlineLvl w:val="3"/>
    </w:pPr>
    <w:rPr>
      <w:rFonts w:asciiTheme="majorHAnsi" w:eastAsiaTheme="majorEastAsia" w:hAnsiTheme="majorHAnsi" w:cstheme="majorBidi"/>
      <w:b/>
      <w:bCs/>
      <w:i/>
      <w:iCs/>
      <w:color w:val="777777"/>
      <w:sz w:val="22"/>
      <w:szCs w:val="22"/>
    </w:rPr>
  </w:style>
  <w:style w:type="paragraph" w:styleId="Balk5">
    <w:name w:val="heading 5"/>
    <w:basedOn w:val="Normal"/>
    <w:next w:val="Normal"/>
    <w:link w:val="Balk5Char"/>
    <w:uiPriority w:val="98"/>
    <w:semiHidden/>
    <w:qFormat/>
    <w:rsid w:val="00D406AC"/>
    <w:pPr>
      <w:spacing w:before="200"/>
      <w:outlineLvl w:val="4"/>
    </w:pPr>
    <w:rPr>
      <w:rFonts w:asciiTheme="majorHAnsi" w:eastAsiaTheme="majorEastAsia" w:hAnsiTheme="majorHAnsi" w:cstheme="majorBidi"/>
      <w:b/>
      <w:bCs/>
      <w:color w:val="808080"/>
      <w:sz w:val="22"/>
      <w:szCs w:val="22"/>
    </w:rPr>
  </w:style>
  <w:style w:type="paragraph" w:styleId="Balk6">
    <w:name w:val="heading 6"/>
    <w:basedOn w:val="Normal"/>
    <w:next w:val="Normal"/>
    <w:link w:val="Balk6Char"/>
    <w:uiPriority w:val="98"/>
    <w:semiHidden/>
    <w:rsid w:val="00D406AC"/>
    <w:pPr>
      <w:spacing w:line="271" w:lineRule="auto"/>
      <w:outlineLvl w:val="5"/>
    </w:pPr>
    <w:rPr>
      <w:rFonts w:asciiTheme="majorHAnsi" w:eastAsiaTheme="majorEastAsia" w:hAnsiTheme="majorHAnsi" w:cstheme="majorBidi"/>
      <w:b/>
      <w:bCs/>
      <w:i/>
      <w:iCs/>
      <w:color w:val="7F7F7F" w:themeColor="text1" w:themeTint="80"/>
      <w:sz w:val="22"/>
      <w:szCs w:val="22"/>
      <w:lang w:bidi="en-US"/>
    </w:rPr>
  </w:style>
  <w:style w:type="paragraph" w:styleId="Balk7">
    <w:name w:val="heading 7"/>
    <w:basedOn w:val="Normal"/>
    <w:next w:val="Normal"/>
    <w:link w:val="Balk7Char"/>
    <w:uiPriority w:val="98"/>
    <w:semiHidden/>
    <w:qFormat/>
    <w:rsid w:val="00D406AC"/>
    <w:pPr>
      <w:outlineLvl w:val="6"/>
    </w:pPr>
    <w:rPr>
      <w:rFonts w:asciiTheme="majorHAnsi" w:eastAsiaTheme="majorEastAsia" w:hAnsiTheme="majorHAnsi" w:cstheme="majorBidi"/>
      <w:i/>
      <w:iCs/>
      <w:sz w:val="22"/>
      <w:szCs w:val="22"/>
      <w:lang w:bidi="en-US"/>
    </w:rPr>
  </w:style>
  <w:style w:type="paragraph" w:styleId="Balk8">
    <w:name w:val="heading 8"/>
    <w:basedOn w:val="Normal"/>
    <w:next w:val="Normal"/>
    <w:link w:val="Balk8Char"/>
    <w:uiPriority w:val="98"/>
    <w:semiHidden/>
    <w:qFormat/>
    <w:rsid w:val="00D406AC"/>
    <w:pPr>
      <w:outlineLvl w:val="7"/>
    </w:pPr>
    <w:rPr>
      <w:rFonts w:asciiTheme="majorHAnsi" w:eastAsiaTheme="majorEastAsia" w:hAnsiTheme="majorHAnsi" w:cstheme="majorBidi"/>
      <w:sz w:val="20"/>
      <w:szCs w:val="20"/>
      <w:lang w:bidi="en-US"/>
    </w:rPr>
  </w:style>
  <w:style w:type="paragraph" w:styleId="Balk9">
    <w:name w:val="heading 9"/>
    <w:basedOn w:val="Normal"/>
    <w:next w:val="Normal"/>
    <w:link w:val="Balk9Char"/>
    <w:uiPriority w:val="98"/>
    <w:semiHidden/>
    <w:qFormat/>
    <w:rsid w:val="00D406AC"/>
    <w:pPr>
      <w:outlineLvl w:val="8"/>
    </w:pPr>
    <w:rPr>
      <w:rFonts w:asciiTheme="majorHAnsi" w:eastAsiaTheme="majorEastAsia" w:hAnsiTheme="majorHAnsi" w:cstheme="majorBidi"/>
      <w:i/>
      <w:iCs/>
      <w:spacing w:val="5"/>
      <w:sz w:val="20"/>
      <w:szCs w:val="20"/>
      <w:lang w:bidi="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8"/>
    <w:semiHidden/>
    <w:rsid w:val="00D406AC"/>
    <w:rPr>
      <w:rFonts w:ascii="Tahoma" w:hAnsi="Tahoma" w:cs="Tahoma"/>
      <w:sz w:val="16"/>
      <w:szCs w:val="16"/>
    </w:rPr>
  </w:style>
  <w:style w:type="character" w:customStyle="1" w:styleId="BalonMetniChar">
    <w:name w:val="Balon Metni Char"/>
    <w:basedOn w:val="VarsaylanParagrafYazTipi"/>
    <w:link w:val="BalonMetni"/>
    <w:uiPriority w:val="98"/>
    <w:semiHidden/>
    <w:rsid w:val="00D406AC"/>
    <w:rPr>
      <w:rFonts w:ascii="Tahoma" w:hAnsi="Tahoma" w:cs="Tahoma"/>
      <w:sz w:val="16"/>
      <w:szCs w:val="16"/>
      <w:lang w:val="fr-FR"/>
    </w:rPr>
  </w:style>
  <w:style w:type="character" w:styleId="KitapBal">
    <w:name w:val="Book Title"/>
    <w:uiPriority w:val="98"/>
    <w:semiHidden/>
    <w:qFormat/>
    <w:rsid w:val="00D406AC"/>
    <w:rPr>
      <w:i/>
      <w:iCs/>
      <w:smallCaps/>
      <w:spacing w:val="5"/>
    </w:rPr>
  </w:style>
  <w:style w:type="paragraph" w:customStyle="1" w:styleId="JuHeader">
    <w:name w:val="Ju_Header"/>
    <w:aliases w:val="_Header"/>
    <w:basedOn w:val="stBilgi"/>
    <w:uiPriority w:val="29"/>
    <w:qFormat/>
    <w:rsid w:val="00D406AC"/>
    <w:pPr>
      <w:tabs>
        <w:tab w:val="clear" w:pos="4536"/>
        <w:tab w:val="clear" w:pos="9072"/>
      </w:tabs>
      <w:jc w:val="center"/>
    </w:pPr>
    <w:rPr>
      <w:sz w:val="18"/>
    </w:rPr>
  </w:style>
  <w:style w:type="paragraph" w:customStyle="1" w:styleId="DummyStyle">
    <w:name w:val="Dummy_Style"/>
    <w:aliases w:val="_Dummy"/>
    <w:basedOn w:val="Normal"/>
    <w:semiHidden/>
    <w:qFormat/>
    <w:rsid w:val="00D406AC"/>
    <w:rPr>
      <w:color w:val="00B050"/>
      <w:sz w:val="22"/>
    </w:rPr>
  </w:style>
  <w:style w:type="character" w:styleId="Gl">
    <w:name w:val="Strong"/>
    <w:uiPriority w:val="98"/>
    <w:semiHidden/>
    <w:qFormat/>
    <w:rsid w:val="00D406AC"/>
    <w:rPr>
      <w:b/>
      <w:bCs/>
    </w:rPr>
  </w:style>
  <w:style w:type="paragraph" w:styleId="AralkYok">
    <w:name w:val="No Spacing"/>
    <w:basedOn w:val="Normal"/>
    <w:link w:val="AralkYokChar"/>
    <w:uiPriority w:val="98"/>
    <w:semiHidden/>
    <w:qFormat/>
    <w:rsid w:val="00D406AC"/>
  </w:style>
  <w:style w:type="character" w:customStyle="1" w:styleId="AralkYokChar">
    <w:name w:val="Aralık Yok Char"/>
    <w:basedOn w:val="VarsaylanParagrafYazTipi"/>
    <w:link w:val="AralkYok"/>
    <w:uiPriority w:val="98"/>
    <w:semiHidden/>
    <w:rsid w:val="00D406AC"/>
    <w:rPr>
      <w:sz w:val="24"/>
      <w:szCs w:val="24"/>
      <w:lang w:val="fr-FR"/>
    </w:rPr>
  </w:style>
  <w:style w:type="paragraph" w:customStyle="1" w:styleId="JuQuot">
    <w:name w:val="Ju_Quot"/>
    <w:aliases w:val="_Quote"/>
    <w:basedOn w:val="NormalJustified"/>
    <w:uiPriority w:val="20"/>
    <w:qFormat/>
    <w:rsid w:val="00D406AC"/>
    <w:pPr>
      <w:spacing w:before="120" w:after="120"/>
      <w:ind w:left="425" w:firstLine="142"/>
    </w:pPr>
    <w:rPr>
      <w:sz w:val="20"/>
    </w:rPr>
  </w:style>
  <w:style w:type="paragraph" w:customStyle="1" w:styleId="JuList">
    <w:name w:val="Ju_List"/>
    <w:aliases w:val="_List_1"/>
    <w:basedOn w:val="NormalJustified"/>
    <w:uiPriority w:val="23"/>
    <w:qFormat/>
    <w:rsid w:val="00D406AC"/>
    <w:pPr>
      <w:numPr>
        <w:numId w:val="7"/>
      </w:numPr>
      <w:spacing w:before="280" w:after="60"/>
    </w:pPr>
  </w:style>
  <w:style w:type="paragraph" w:customStyle="1" w:styleId="JuLista">
    <w:name w:val="Ju_List_a"/>
    <w:aliases w:val="_List_2"/>
    <w:basedOn w:val="NormalJustified"/>
    <w:uiPriority w:val="23"/>
    <w:rsid w:val="00D406AC"/>
    <w:pPr>
      <w:numPr>
        <w:ilvl w:val="1"/>
        <w:numId w:val="7"/>
      </w:numPr>
    </w:pPr>
  </w:style>
  <w:style w:type="paragraph" w:customStyle="1" w:styleId="JuListi">
    <w:name w:val="Ju_List_i"/>
    <w:aliases w:val="_List_3"/>
    <w:basedOn w:val="NormalJustified"/>
    <w:uiPriority w:val="23"/>
    <w:rsid w:val="00D406AC"/>
    <w:pPr>
      <w:numPr>
        <w:ilvl w:val="2"/>
        <w:numId w:val="7"/>
      </w:numPr>
    </w:pPr>
  </w:style>
  <w:style w:type="paragraph" w:customStyle="1" w:styleId="DecHTitle">
    <w:name w:val="Dec_H_Title"/>
    <w:aliases w:val="_Title_1"/>
    <w:basedOn w:val="JuPara"/>
    <w:next w:val="JuPara"/>
    <w:uiPriority w:val="38"/>
    <w:qFormat/>
    <w:rsid w:val="00D406AC"/>
    <w:pPr>
      <w:keepNext/>
      <w:keepLines/>
      <w:spacing w:after="240"/>
      <w:ind w:firstLine="0"/>
      <w:jc w:val="center"/>
      <w:outlineLvl w:val="0"/>
    </w:pPr>
    <w:rPr>
      <w:rFonts w:asciiTheme="majorHAnsi" w:hAnsiTheme="majorHAnsi"/>
      <w:sz w:val="28"/>
    </w:rPr>
  </w:style>
  <w:style w:type="paragraph" w:customStyle="1" w:styleId="JuHArticle">
    <w:name w:val="Ju_H_Article"/>
    <w:aliases w:val="_Title_Quote"/>
    <w:basedOn w:val="Normal"/>
    <w:next w:val="JuQuot"/>
    <w:uiPriority w:val="19"/>
    <w:qFormat/>
    <w:rsid w:val="00D406AC"/>
    <w:pPr>
      <w:keepNext/>
      <w:spacing w:before="100" w:beforeAutospacing="1" w:after="120"/>
      <w:contextualSpacing/>
      <w:jc w:val="center"/>
    </w:pPr>
    <w:rPr>
      <w:b/>
      <w:sz w:val="20"/>
    </w:rPr>
  </w:style>
  <w:style w:type="paragraph" w:customStyle="1" w:styleId="ECHRCoverTitle4">
    <w:name w:val="ECHR_Cover_Title_4"/>
    <w:aliases w:val="_Title_4"/>
    <w:basedOn w:val="JuPara"/>
    <w:next w:val="JuPara"/>
    <w:uiPriority w:val="38"/>
    <w:qFormat/>
    <w:rsid w:val="00D406AC"/>
    <w:pPr>
      <w:keepNext/>
      <w:keepLines/>
      <w:tabs>
        <w:tab w:val="right" w:pos="7938"/>
      </w:tabs>
      <w:ind w:firstLine="0"/>
      <w:jc w:val="center"/>
    </w:pPr>
    <w:rPr>
      <w:i/>
    </w:rPr>
  </w:style>
  <w:style w:type="numbering" w:customStyle="1" w:styleId="ECHRA1StyleBulletedSquare">
    <w:name w:val="ECHR_A1_Style_Bulleted_Square"/>
    <w:basedOn w:val="ListeYok"/>
    <w:rsid w:val="00D406AC"/>
    <w:pPr>
      <w:numPr>
        <w:numId w:val="6"/>
      </w:numPr>
    </w:pPr>
  </w:style>
  <w:style w:type="paragraph" w:customStyle="1" w:styleId="JuHHead">
    <w:name w:val="Ju_H_Head"/>
    <w:aliases w:val="_Head_1"/>
    <w:basedOn w:val="Balk1"/>
    <w:next w:val="JuPara"/>
    <w:uiPriority w:val="17"/>
    <w:qFormat/>
    <w:rsid w:val="00D406AC"/>
    <w:pPr>
      <w:keepNext/>
      <w:keepLines/>
      <w:numPr>
        <w:numId w:val="2"/>
      </w:numPr>
      <w:spacing w:before="100" w:beforeAutospacing="1" w:after="240"/>
      <w:contextualSpacing w:val="0"/>
      <w:jc w:val="both"/>
    </w:pPr>
    <w:rPr>
      <w:b w:val="0"/>
      <w:caps/>
      <w:color w:val="auto"/>
    </w:rPr>
  </w:style>
  <w:style w:type="numbering" w:customStyle="1" w:styleId="ECHRA1StyleList">
    <w:name w:val="ECHR_A1_Style_List"/>
    <w:basedOn w:val="ListeYok"/>
    <w:uiPriority w:val="99"/>
    <w:rsid w:val="00D406AC"/>
    <w:pPr>
      <w:numPr>
        <w:numId w:val="7"/>
      </w:numPr>
    </w:pPr>
  </w:style>
  <w:style w:type="paragraph" w:customStyle="1" w:styleId="JuSigned">
    <w:name w:val="Ju_Signed"/>
    <w:aliases w:val="_Signature"/>
    <w:basedOn w:val="Normal"/>
    <w:next w:val="JuPara"/>
    <w:uiPriority w:val="31"/>
    <w:qFormat/>
    <w:rsid w:val="00D406AC"/>
    <w:pPr>
      <w:tabs>
        <w:tab w:val="center" w:pos="851"/>
        <w:tab w:val="center" w:pos="6407"/>
      </w:tabs>
      <w:spacing w:before="720"/>
    </w:pPr>
  </w:style>
  <w:style w:type="paragraph" w:styleId="KonuBal">
    <w:name w:val="Title"/>
    <w:basedOn w:val="Normal"/>
    <w:next w:val="Normal"/>
    <w:link w:val="KonuBalChar"/>
    <w:uiPriority w:val="98"/>
    <w:semiHidden/>
    <w:qFormat/>
    <w:rsid w:val="00D406AC"/>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KonuBalChar">
    <w:name w:val="Konu Başlığı Char"/>
    <w:basedOn w:val="VarsaylanParagrafYazTipi"/>
    <w:link w:val="KonuBal"/>
    <w:uiPriority w:val="98"/>
    <w:semiHidden/>
    <w:rsid w:val="00D406AC"/>
    <w:rPr>
      <w:rFonts w:asciiTheme="majorHAnsi" w:eastAsiaTheme="majorEastAsia" w:hAnsiTheme="majorHAnsi" w:cstheme="majorBidi"/>
      <w:spacing w:val="5"/>
      <w:sz w:val="52"/>
      <w:szCs w:val="52"/>
      <w:lang w:val="fr-FR" w:bidi="en-US"/>
    </w:rPr>
  </w:style>
  <w:style w:type="numbering" w:customStyle="1" w:styleId="ECHRA1StyleNumberedList">
    <w:name w:val="ECHR_A1_Style_Numbered_List"/>
    <w:basedOn w:val="ListeYok"/>
    <w:rsid w:val="00D406AC"/>
    <w:pPr>
      <w:numPr>
        <w:numId w:val="8"/>
      </w:numPr>
    </w:pPr>
  </w:style>
  <w:style w:type="table" w:customStyle="1" w:styleId="ECHRTable2019">
    <w:name w:val="ECHR_Table_2019"/>
    <w:basedOn w:val="NormalTablo"/>
    <w:uiPriority w:val="99"/>
    <w:rsid w:val="00D406AC"/>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auto"/>
        <w:sz w:val="22"/>
      </w:rPr>
      <w:tblPr/>
      <w:tcPr>
        <w:shd w:val="clear" w:color="auto" w:fill="DFDFDF" w:themeFill="accent3" w:themeFillTint="3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band2Horz">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l2br w:val="nil"/>
          <w:tr2bl w:val="nil"/>
        </w:tcBorders>
        <w:shd w:val="clear" w:color="auto" w:fill="F3F3F3" w:themeFill="text2" w:themeFillTint="33"/>
      </w:tcPr>
    </w:tblStylePr>
  </w:style>
  <w:style w:type="paragraph" w:customStyle="1" w:styleId="Footer">
    <w:name w:val="_Footer"/>
    <w:aliases w:val="Footer_"/>
    <w:basedOn w:val="AltBilgi"/>
    <w:uiPriority w:val="57"/>
    <w:semiHidden/>
    <w:rsid w:val="00A00672"/>
    <w:rPr>
      <w:sz w:val="8"/>
    </w:rPr>
  </w:style>
  <w:style w:type="paragraph" w:customStyle="1" w:styleId="JuCourt">
    <w:name w:val="Ju_Court"/>
    <w:aliases w:val="_Court_Names"/>
    <w:basedOn w:val="Normal"/>
    <w:next w:val="Normal"/>
    <w:uiPriority w:val="32"/>
    <w:qFormat/>
    <w:rsid w:val="00D406AC"/>
    <w:pPr>
      <w:tabs>
        <w:tab w:val="left" w:pos="907"/>
        <w:tab w:val="left" w:pos="1701"/>
        <w:tab w:val="right" w:pos="7371"/>
      </w:tabs>
      <w:spacing w:before="240"/>
      <w:ind w:left="397" w:hanging="397"/>
    </w:pPr>
    <w:rPr>
      <w:lang w:bidi="en-US"/>
    </w:rPr>
  </w:style>
  <w:style w:type="paragraph" w:customStyle="1" w:styleId="JuInitialled">
    <w:name w:val="Ju_Initialled"/>
    <w:aliases w:val="_Right"/>
    <w:basedOn w:val="Normal"/>
    <w:uiPriority w:val="30"/>
    <w:qFormat/>
    <w:rsid w:val="00D406AC"/>
    <w:pPr>
      <w:tabs>
        <w:tab w:val="center" w:pos="6407"/>
      </w:tabs>
      <w:spacing w:before="720"/>
      <w:jc w:val="right"/>
    </w:pPr>
  </w:style>
  <w:style w:type="paragraph" w:customStyle="1" w:styleId="JuHIRoman">
    <w:name w:val="Ju_H_I_Roman"/>
    <w:aliases w:val="_Head_2"/>
    <w:basedOn w:val="Balk2"/>
    <w:next w:val="JuPara"/>
    <w:uiPriority w:val="17"/>
    <w:qFormat/>
    <w:rsid w:val="00D406AC"/>
    <w:pPr>
      <w:keepNext/>
      <w:keepLines/>
      <w:numPr>
        <w:ilvl w:val="1"/>
        <w:numId w:val="2"/>
      </w:numPr>
      <w:tabs>
        <w:tab w:val="left" w:pos="454"/>
        <w:tab w:val="left" w:pos="567"/>
        <w:tab w:val="left" w:pos="680"/>
      </w:tabs>
      <w:spacing w:before="100" w:beforeAutospacing="1" w:after="240"/>
      <w:jc w:val="both"/>
    </w:pPr>
    <w:rPr>
      <w:b w:val="0"/>
      <w:caps/>
      <w:color w:val="auto"/>
      <w:sz w:val="24"/>
    </w:rPr>
  </w:style>
  <w:style w:type="paragraph" w:customStyle="1" w:styleId="JuHA">
    <w:name w:val="Ju_H_A"/>
    <w:aliases w:val="_Head_3"/>
    <w:basedOn w:val="Balk3"/>
    <w:next w:val="JuPara"/>
    <w:uiPriority w:val="17"/>
    <w:qFormat/>
    <w:rsid w:val="00D406AC"/>
    <w:pPr>
      <w:keepNext/>
      <w:keepLines/>
      <w:numPr>
        <w:ilvl w:val="2"/>
        <w:numId w:val="2"/>
      </w:numPr>
      <w:spacing w:before="100" w:beforeAutospacing="1" w:after="240" w:line="240" w:lineRule="auto"/>
      <w:jc w:val="both"/>
    </w:pPr>
    <w:rPr>
      <w:color w:val="auto"/>
      <w:sz w:val="24"/>
    </w:rPr>
  </w:style>
  <w:style w:type="paragraph" w:customStyle="1" w:styleId="JuH1">
    <w:name w:val="Ju_H_1."/>
    <w:aliases w:val="_Head_4"/>
    <w:basedOn w:val="Balk4"/>
    <w:next w:val="JuPara"/>
    <w:uiPriority w:val="17"/>
    <w:rsid w:val="00D406AC"/>
    <w:pPr>
      <w:keepNext/>
      <w:keepLines/>
      <w:numPr>
        <w:ilvl w:val="3"/>
        <w:numId w:val="2"/>
      </w:numPr>
      <w:spacing w:before="100" w:beforeAutospacing="1" w:after="120"/>
      <w:jc w:val="both"/>
    </w:pPr>
    <w:rPr>
      <w:b w:val="0"/>
      <w:color w:val="auto"/>
      <w:sz w:val="24"/>
    </w:rPr>
  </w:style>
  <w:style w:type="paragraph" w:styleId="stBilgi">
    <w:name w:val="header"/>
    <w:basedOn w:val="Normal"/>
    <w:link w:val="stBilgiChar"/>
    <w:uiPriority w:val="98"/>
    <w:semiHidden/>
    <w:rsid w:val="00D406AC"/>
    <w:pPr>
      <w:tabs>
        <w:tab w:val="center" w:pos="4536"/>
        <w:tab w:val="right" w:pos="9072"/>
      </w:tabs>
    </w:pPr>
  </w:style>
  <w:style w:type="character" w:customStyle="1" w:styleId="stBilgiChar">
    <w:name w:val="Üst Bilgi Char"/>
    <w:basedOn w:val="VarsaylanParagrafYazTipi"/>
    <w:link w:val="stBilgi"/>
    <w:uiPriority w:val="98"/>
    <w:semiHidden/>
    <w:rsid w:val="00D406AC"/>
    <w:rPr>
      <w:sz w:val="24"/>
      <w:szCs w:val="24"/>
      <w:lang w:val="fr-FR"/>
    </w:rPr>
  </w:style>
  <w:style w:type="character" w:customStyle="1" w:styleId="Balk1Char">
    <w:name w:val="Başlık 1 Char"/>
    <w:basedOn w:val="VarsaylanParagrafYazTipi"/>
    <w:link w:val="Balk1"/>
    <w:uiPriority w:val="98"/>
    <w:semiHidden/>
    <w:rsid w:val="00D406AC"/>
    <w:rPr>
      <w:rFonts w:asciiTheme="majorHAnsi" w:eastAsiaTheme="majorEastAsia" w:hAnsiTheme="majorHAnsi" w:cstheme="majorBidi"/>
      <w:b/>
      <w:bCs/>
      <w:color w:val="333333"/>
      <w:sz w:val="28"/>
      <w:szCs w:val="28"/>
      <w:lang w:val="fr-FR"/>
    </w:rPr>
  </w:style>
  <w:style w:type="paragraph" w:customStyle="1" w:styleId="JuHa0">
    <w:name w:val="Ju_H_a"/>
    <w:aliases w:val="_Head_5"/>
    <w:basedOn w:val="Balk5"/>
    <w:next w:val="JuPara"/>
    <w:uiPriority w:val="17"/>
    <w:rsid w:val="00D406AC"/>
    <w:pPr>
      <w:keepNext/>
      <w:keepLines/>
      <w:numPr>
        <w:ilvl w:val="4"/>
        <w:numId w:val="2"/>
      </w:numPr>
      <w:spacing w:before="100" w:beforeAutospacing="1" w:after="120"/>
      <w:jc w:val="both"/>
    </w:pPr>
    <w:rPr>
      <w:color w:val="auto"/>
      <w:sz w:val="20"/>
    </w:rPr>
  </w:style>
  <w:style w:type="paragraph" w:customStyle="1" w:styleId="JuHi">
    <w:name w:val="Ju_H_i"/>
    <w:aliases w:val="_Head_6"/>
    <w:basedOn w:val="Balk6"/>
    <w:next w:val="JuPara"/>
    <w:uiPriority w:val="17"/>
    <w:rsid w:val="00D406AC"/>
    <w:pPr>
      <w:keepNext/>
      <w:keepLines/>
      <w:numPr>
        <w:ilvl w:val="5"/>
        <w:numId w:val="2"/>
      </w:numPr>
      <w:tabs>
        <w:tab w:val="left" w:pos="1077"/>
        <w:tab w:val="left" w:pos="1134"/>
        <w:tab w:val="left" w:pos="1191"/>
        <w:tab w:val="left" w:pos="1247"/>
      </w:tabs>
      <w:spacing w:before="100" w:beforeAutospacing="1" w:after="120"/>
      <w:jc w:val="both"/>
    </w:pPr>
    <w:rPr>
      <w:b w:val="0"/>
      <w:color w:val="auto"/>
      <w:sz w:val="20"/>
    </w:rPr>
  </w:style>
  <w:style w:type="character" w:customStyle="1" w:styleId="Balk2Char">
    <w:name w:val="Başlık 2 Char"/>
    <w:basedOn w:val="VarsaylanParagrafYazTipi"/>
    <w:link w:val="Balk2"/>
    <w:uiPriority w:val="98"/>
    <w:semiHidden/>
    <w:rsid w:val="00D406AC"/>
    <w:rPr>
      <w:rFonts w:asciiTheme="majorHAnsi" w:eastAsiaTheme="majorEastAsia" w:hAnsiTheme="majorHAnsi" w:cstheme="majorBidi"/>
      <w:b/>
      <w:bCs/>
      <w:color w:val="4D4D4D"/>
      <w:sz w:val="26"/>
      <w:szCs w:val="26"/>
      <w:lang w:val="fr-FR"/>
    </w:rPr>
  </w:style>
  <w:style w:type="paragraph" w:customStyle="1" w:styleId="JuHalpha">
    <w:name w:val="Ju_H_alpha"/>
    <w:aliases w:val="_Head_7"/>
    <w:basedOn w:val="Balk7"/>
    <w:next w:val="JuPara"/>
    <w:uiPriority w:val="17"/>
    <w:rsid w:val="00D406AC"/>
    <w:pPr>
      <w:keepNext/>
      <w:keepLines/>
      <w:numPr>
        <w:ilvl w:val="6"/>
        <w:numId w:val="2"/>
      </w:numPr>
      <w:tabs>
        <w:tab w:val="left" w:pos="1361"/>
      </w:tabs>
      <w:spacing w:before="100" w:beforeAutospacing="1" w:after="120"/>
      <w:jc w:val="both"/>
    </w:pPr>
    <w:rPr>
      <w:i w:val="0"/>
      <w:sz w:val="20"/>
    </w:rPr>
  </w:style>
  <w:style w:type="paragraph" w:customStyle="1" w:styleId="JuH">
    <w:name w:val="Ju_H_–"/>
    <w:aliases w:val="_Head_8"/>
    <w:basedOn w:val="Balk8"/>
    <w:next w:val="JuPara"/>
    <w:uiPriority w:val="17"/>
    <w:rsid w:val="00D406AC"/>
    <w:pPr>
      <w:keepNext/>
      <w:keepLines/>
      <w:numPr>
        <w:ilvl w:val="7"/>
        <w:numId w:val="2"/>
      </w:numPr>
      <w:spacing w:before="100" w:beforeAutospacing="1" w:after="120"/>
      <w:jc w:val="both"/>
    </w:pPr>
    <w:rPr>
      <w:i/>
    </w:rPr>
  </w:style>
  <w:style w:type="character" w:customStyle="1" w:styleId="Balk3Char">
    <w:name w:val="Başlık 3 Char"/>
    <w:basedOn w:val="VarsaylanParagrafYazTipi"/>
    <w:link w:val="Balk3"/>
    <w:uiPriority w:val="98"/>
    <w:semiHidden/>
    <w:rsid w:val="00D406AC"/>
    <w:rPr>
      <w:rFonts w:asciiTheme="majorHAnsi" w:eastAsiaTheme="majorEastAsia" w:hAnsiTheme="majorHAnsi" w:cstheme="majorBidi"/>
      <w:b/>
      <w:bCs/>
      <w:color w:val="5F5F5F"/>
      <w:lang w:val="fr-FR"/>
    </w:rPr>
  </w:style>
  <w:style w:type="paragraph" w:customStyle="1" w:styleId="JuParaLast">
    <w:name w:val="Ju_Para_Last"/>
    <w:aliases w:val="_Para_Spaced"/>
    <w:basedOn w:val="NormalJustified"/>
    <w:uiPriority w:val="5"/>
    <w:qFormat/>
    <w:rsid w:val="00D406AC"/>
    <w:pPr>
      <w:keepNext/>
      <w:keepLines/>
      <w:spacing w:before="240" w:after="240"/>
      <w:ind w:firstLine="284"/>
    </w:pPr>
  </w:style>
  <w:style w:type="paragraph" w:customStyle="1" w:styleId="JuJudges">
    <w:name w:val="Ju_Judges"/>
    <w:aliases w:val="_Judges"/>
    <w:basedOn w:val="Normal"/>
    <w:link w:val="JuJudgesChar"/>
    <w:uiPriority w:val="32"/>
    <w:qFormat/>
    <w:rsid w:val="00D406AC"/>
    <w:pPr>
      <w:tabs>
        <w:tab w:val="left" w:pos="567"/>
        <w:tab w:val="left" w:pos="1134"/>
      </w:tabs>
    </w:pPr>
  </w:style>
  <w:style w:type="character" w:customStyle="1" w:styleId="Balk4Char">
    <w:name w:val="Başlık 4 Char"/>
    <w:basedOn w:val="VarsaylanParagrafYazTipi"/>
    <w:link w:val="Balk4"/>
    <w:uiPriority w:val="98"/>
    <w:semiHidden/>
    <w:rsid w:val="00D406AC"/>
    <w:rPr>
      <w:rFonts w:asciiTheme="majorHAnsi" w:eastAsiaTheme="majorEastAsia" w:hAnsiTheme="majorHAnsi" w:cstheme="majorBidi"/>
      <w:b/>
      <w:bCs/>
      <w:i/>
      <w:iCs/>
      <w:color w:val="777777"/>
      <w:lang w:val="fr-FR"/>
    </w:rPr>
  </w:style>
  <w:style w:type="character" w:customStyle="1" w:styleId="JuITMark">
    <w:name w:val="Ju_ITMark"/>
    <w:aliases w:val="_ITMark"/>
    <w:basedOn w:val="VarsaylanParagrafYazTipi"/>
    <w:uiPriority w:val="54"/>
    <w:qFormat/>
    <w:rsid w:val="00D406AC"/>
    <w:rPr>
      <w:vanish w:val="0"/>
      <w:color w:val="auto"/>
      <w:sz w:val="14"/>
      <w:bdr w:val="none" w:sz="0" w:space="0" w:color="auto"/>
      <w:shd w:val="clear" w:color="auto" w:fill="BEE5FF" w:themeFill="background1" w:themeFillTint="33"/>
    </w:rPr>
  </w:style>
  <w:style w:type="character" w:customStyle="1" w:styleId="Balk5Char">
    <w:name w:val="Başlık 5 Char"/>
    <w:basedOn w:val="VarsaylanParagrafYazTipi"/>
    <w:link w:val="Balk5"/>
    <w:uiPriority w:val="98"/>
    <w:semiHidden/>
    <w:rsid w:val="00D406AC"/>
    <w:rPr>
      <w:rFonts w:asciiTheme="majorHAnsi" w:eastAsiaTheme="majorEastAsia" w:hAnsiTheme="majorHAnsi" w:cstheme="majorBidi"/>
      <w:b/>
      <w:bCs/>
      <w:color w:val="808080"/>
      <w:lang w:val="fr-FR"/>
    </w:rPr>
  </w:style>
  <w:style w:type="character" w:customStyle="1" w:styleId="JUNAMES">
    <w:name w:val="JU_NAMES"/>
    <w:aliases w:val="_Ju_Names"/>
    <w:uiPriority w:val="33"/>
    <w:qFormat/>
    <w:rsid w:val="00D406AC"/>
    <w:rPr>
      <w:caps w:val="0"/>
      <w:smallCaps/>
    </w:rPr>
  </w:style>
  <w:style w:type="paragraph" w:customStyle="1" w:styleId="NormalJustified">
    <w:name w:val="Normal_Justified"/>
    <w:basedOn w:val="Normal"/>
    <w:semiHidden/>
    <w:rsid w:val="00D406AC"/>
    <w:pPr>
      <w:jc w:val="both"/>
    </w:pPr>
  </w:style>
  <w:style w:type="character" w:styleId="HafifVurgulama">
    <w:name w:val="Subtle Emphasis"/>
    <w:uiPriority w:val="98"/>
    <w:semiHidden/>
    <w:qFormat/>
    <w:rsid w:val="00D406AC"/>
    <w:rPr>
      <w:i/>
      <w:iCs/>
    </w:rPr>
  </w:style>
  <w:style w:type="table" w:customStyle="1" w:styleId="ECHRTable">
    <w:name w:val="ECHR_Table"/>
    <w:basedOn w:val="NormalTablo"/>
    <w:rsid w:val="00D406AC"/>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ormalTablo"/>
    <w:rsid w:val="00D406AC"/>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character" w:styleId="Vurgu">
    <w:name w:val="Emphasis"/>
    <w:uiPriority w:val="98"/>
    <w:semiHidden/>
    <w:qFormat/>
    <w:rsid w:val="00D406AC"/>
    <w:rPr>
      <w:b/>
      <w:bCs/>
      <w:i/>
      <w:iCs/>
      <w:spacing w:val="10"/>
      <w:bdr w:val="none" w:sz="0" w:space="0" w:color="auto"/>
      <w:shd w:val="clear" w:color="auto" w:fill="auto"/>
    </w:rPr>
  </w:style>
  <w:style w:type="paragraph" w:styleId="AltBilgi">
    <w:name w:val="footer"/>
    <w:basedOn w:val="Normal"/>
    <w:link w:val="AltBilgiChar"/>
    <w:uiPriority w:val="98"/>
    <w:semiHidden/>
    <w:rsid w:val="00D406AC"/>
    <w:pPr>
      <w:tabs>
        <w:tab w:val="center" w:pos="3686"/>
        <w:tab w:val="right" w:pos="7371"/>
      </w:tabs>
    </w:pPr>
  </w:style>
  <w:style w:type="character" w:customStyle="1" w:styleId="AltBilgiChar">
    <w:name w:val="Alt Bilgi Char"/>
    <w:basedOn w:val="VarsaylanParagrafYazTipi"/>
    <w:link w:val="AltBilgi"/>
    <w:uiPriority w:val="98"/>
    <w:semiHidden/>
    <w:rsid w:val="00D406AC"/>
    <w:rPr>
      <w:sz w:val="24"/>
      <w:szCs w:val="24"/>
      <w:lang w:val="fr-FR"/>
    </w:rPr>
  </w:style>
  <w:style w:type="character" w:styleId="DipnotBavurusu">
    <w:name w:val="footnote reference"/>
    <w:basedOn w:val="VarsaylanParagrafYazTipi"/>
    <w:uiPriority w:val="98"/>
    <w:semiHidden/>
    <w:rsid w:val="00D406AC"/>
    <w:rPr>
      <w:vertAlign w:val="superscript"/>
    </w:rPr>
  </w:style>
  <w:style w:type="paragraph" w:styleId="DipnotMetni">
    <w:name w:val="footnote text"/>
    <w:basedOn w:val="Normal"/>
    <w:link w:val="DipnotMetniChar"/>
    <w:uiPriority w:val="98"/>
    <w:semiHidden/>
    <w:rsid w:val="00D406AC"/>
    <w:rPr>
      <w:sz w:val="20"/>
      <w:szCs w:val="20"/>
    </w:rPr>
  </w:style>
  <w:style w:type="character" w:customStyle="1" w:styleId="DipnotMetniChar">
    <w:name w:val="Dipnot Metni Char"/>
    <w:basedOn w:val="VarsaylanParagrafYazTipi"/>
    <w:link w:val="DipnotMetni"/>
    <w:uiPriority w:val="98"/>
    <w:semiHidden/>
    <w:rsid w:val="00D406AC"/>
    <w:rPr>
      <w:sz w:val="20"/>
      <w:szCs w:val="20"/>
      <w:lang w:val="fr-FR"/>
    </w:rPr>
  </w:style>
  <w:style w:type="character" w:customStyle="1" w:styleId="Balk6Char">
    <w:name w:val="Başlık 6 Char"/>
    <w:basedOn w:val="VarsaylanParagrafYazTipi"/>
    <w:link w:val="Balk6"/>
    <w:uiPriority w:val="98"/>
    <w:semiHidden/>
    <w:rsid w:val="00D406AC"/>
    <w:rPr>
      <w:rFonts w:asciiTheme="majorHAnsi" w:eastAsiaTheme="majorEastAsia" w:hAnsiTheme="majorHAnsi" w:cstheme="majorBidi"/>
      <w:b/>
      <w:bCs/>
      <w:i/>
      <w:iCs/>
      <w:color w:val="7F7F7F" w:themeColor="text1" w:themeTint="80"/>
      <w:lang w:val="fr-FR" w:bidi="en-US"/>
    </w:rPr>
  </w:style>
  <w:style w:type="character" w:customStyle="1" w:styleId="Balk7Char">
    <w:name w:val="Başlık 7 Char"/>
    <w:basedOn w:val="VarsaylanParagrafYazTipi"/>
    <w:link w:val="Balk7"/>
    <w:uiPriority w:val="98"/>
    <w:semiHidden/>
    <w:rsid w:val="00D406AC"/>
    <w:rPr>
      <w:rFonts w:asciiTheme="majorHAnsi" w:eastAsiaTheme="majorEastAsia" w:hAnsiTheme="majorHAnsi" w:cstheme="majorBidi"/>
      <w:i/>
      <w:iCs/>
      <w:lang w:val="fr-FR" w:bidi="en-US"/>
    </w:rPr>
  </w:style>
  <w:style w:type="character" w:customStyle="1" w:styleId="Balk8Char">
    <w:name w:val="Başlık 8 Char"/>
    <w:basedOn w:val="VarsaylanParagrafYazTipi"/>
    <w:link w:val="Balk8"/>
    <w:uiPriority w:val="98"/>
    <w:semiHidden/>
    <w:rsid w:val="00D406AC"/>
    <w:rPr>
      <w:rFonts w:asciiTheme="majorHAnsi" w:eastAsiaTheme="majorEastAsia" w:hAnsiTheme="majorHAnsi" w:cstheme="majorBidi"/>
      <w:sz w:val="20"/>
      <w:szCs w:val="20"/>
      <w:lang w:val="fr-FR" w:bidi="en-US"/>
    </w:rPr>
  </w:style>
  <w:style w:type="character" w:customStyle="1" w:styleId="Balk9Char">
    <w:name w:val="Başlık 9 Char"/>
    <w:basedOn w:val="VarsaylanParagrafYazTipi"/>
    <w:link w:val="Balk9"/>
    <w:uiPriority w:val="98"/>
    <w:semiHidden/>
    <w:rsid w:val="00D406AC"/>
    <w:rPr>
      <w:rFonts w:asciiTheme="majorHAnsi" w:eastAsiaTheme="majorEastAsia" w:hAnsiTheme="majorHAnsi" w:cstheme="majorBidi"/>
      <w:i/>
      <w:iCs/>
      <w:spacing w:val="5"/>
      <w:sz w:val="20"/>
      <w:szCs w:val="20"/>
      <w:lang w:val="fr-FR" w:bidi="en-US"/>
    </w:rPr>
  </w:style>
  <w:style w:type="character" w:styleId="Kpr">
    <w:name w:val="Hyperlink"/>
    <w:basedOn w:val="VarsaylanParagrafYazTipi"/>
    <w:uiPriority w:val="99"/>
    <w:rsid w:val="00D406AC"/>
    <w:rPr>
      <w:color w:val="0072BC" w:themeColor="hyperlink"/>
      <w:u w:val="single"/>
    </w:rPr>
  </w:style>
  <w:style w:type="character" w:styleId="GlVurgulama">
    <w:name w:val="Intense Emphasis"/>
    <w:uiPriority w:val="98"/>
    <w:semiHidden/>
    <w:qFormat/>
    <w:rsid w:val="00D406AC"/>
    <w:rPr>
      <w:b/>
      <w:bCs/>
    </w:rPr>
  </w:style>
  <w:style w:type="paragraph" w:styleId="GlAlnt">
    <w:name w:val="Intense Quote"/>
    <w:basedOn w:val="Normal"/>
    <w:next w:val="Normal"/>
    <w:link w:val="GlAlntChar"/>
    <w:uiPriority w:val="98"/>
    <w:semiHidden/>
    <w:qFormat/>
    <w:rsid w:val="00D406AC"/>
    <w:pPr>
      <w:pBdr>
        <w:bottom w:val="single" w:sz="4" w:space="1" w:color="auto"/>
      </w:pBdr>
      <w:spacing w:before="200" w:after="280"/>
      <w:ind w:left="1008" w:right="1152"/>
    </w:pPr>
    <w:rPr>
      <w:b/>
      <w:bCs/>
      <w:i/>
      <w:iCs/>
      <w:lang w:bidi="en-US"/>
    </w:rPr>
  </w:style>
  <w:style w:type="character" w:customStyle="1" w:styleId="GlAlntChar">
    <w:name w:val="Güçlü Alıntı Char"/>
    <w:basedOn w:val="VarsaylanParagrafYazTipi"/>
    <w:link w:val="GlAlnt"/>
    <w:uiPriority w:val="98"/>
    <w:semiHidden/>
    <w:rsid w:val="00D406AC"/>
    <w:rPr>
      <w:b/>
      <w:bCs/>
      <w:i/>
      <w:iCs/>
      <w:sz w:val="24"/>
      <w:szCs w:val="24"/>
      <w:lang w:val="fr-FR" w:bidi="en-US"/>
    </w:rPr>
  </w:style>
  <w:style w:type="character" w:styleId="GlBavuru">
    <w:name w:val="Intense Reference"/>
    <w:uiPriority w:val="98"/>
    <w:semiHidden/>
    <w:qFormat/>
    <w:rsid w:val="00D406AC"/>
    <w:rPr>
      <w:smallCaps/>
      <w:spacing w:val="5"/>
      <w:u w:val="single"/>
    </w:rPr>
  </w:style>
  <w:style w:type="paragraph" w:styleId="ListeParagraf">
    <w:name w:val="List Paragraph"/>
    <w:basedOn w:val="Normal"/>
    <w:uiPriority w:val="34"/>
    <w:qFormat/>
    <w:rsid w:val="00D406AC"/>
    <w:pPr>
      <w:ind w:left="720"/>
      <w:contextualSpacing/>
    </w:pPr>
  </w:style>
  <w:style w:type="table" w:customStyle="1" w:styleId="LtrTableAddress">
    <w:name w:val="Ltr_Table_Address"/>
    <w:aliases w:val="ECHR_Ltr_Table_Address"/>
    <w:basedOn w:val="NormalTablo"/>
    <w:uiPriority w:val="99"/>
    <w:rsid w:val="00D406AC"/>
    <w:rPr>
      <w:sz w:val="24"/>
      <w:szCs w:val="24"/>
    </w:rPr>
    <w:tblPr>
      <w:tblInd w:w="5103" w:type="dxa"/>
    </w:tblPr>
  </w:style>
  <w:style w:type="paragraph" w:styleId="Alnt">
    <w:name w:val="Quote"/>
    <w:basedOn w:val="Normal"/>
    <w:next w:val="Normal"/>
    <w:link w:val="AlntChar"/>
    <w:uiPriority w:val="98"/>
    <w:semiHidden/>
    <w:qFormat/>
    <w:rsid w:val="00D406AC"/>
    <w:pPr>
      <w:spacing w:before="200"/>
      <w:ind w:left="360" w:right="360"/>
    </w:pPr>
    <w:rPr>
      <w:i/>
      <w:iCs/>
      <w:lang w:bidi="en-US"/>
    </w:rPr>
  </w:style>
  <w:style w:type="character" w:customStyle="1" w:styleId="AlntChar">
    <w:name w:val="Alıntı Char"/>
    <w:basedOn w:val="VarsaylanParagrafYazTipi"/>
    <w:link w:val="Alnt"/>
    <w:uiPriority w:val="98"/>
    <w:semiHidden/>
    <w:rsid w:val="00D406AC"/>
    <w:rPr>
      <w:i/>
      <w:iCs/>
      <w:sz w:val="24"/>
      <w:szCs w:val="24"/>
      <w:lang w:val="fr-FR" w:bidi="en-US"/>
    </w:rPr>
  </w:style>
  <w:style w:type="character" w:styleId="HafifBavuru">
    <w:name w:val="Subtle Reference"/>
    <w:uiPriority w:val="98"/>
    <w:semiHidden/>
    <w:qFormat/>
    <w:rsid w:val="00D406AC"/>
    <w:rPr>
      <w:smallCaps/>
    </w:rPr>
  </w:style>
  <w:style w:type="table" w:styleId="TabloKlavuzu">
    <w:name w:val="Table Grid"/>
    <w:basedOn w:val="NormalTablo"/>
    <w:uiPriority w:val="59"/>
    <w:semiHidden/>
    <w:rsid w:val="00D406AC"/>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1">
    <w:name w:val="toc 1"/>
    <w:basedOn w:val="Normal"/>
    <w:next w:val="Normal"/>
    <w:autoRedefine/>
    <w:uiPriority w:val="98"/>
    <w:semiHidden/>
    <w:rsid w:val="00D406AC"/>
    <w:pPr>
      <w:keepNext/>
      <w:tabs>
        <w:tab w:val="right" w:leader="dot" w:pos="7371"/>
      </w:tabs>
      <w:spacing w:before="160" w:after="60" w:line="240" w:lineRule="exact"/>
      <w:ind w:left="340" w:right="567" w:hanging="340"/>
    </w:pPr>
    <w:rPr>
      <w:b/>
      <w:sz w:val="22"/>
    </w:rPr>
  </w:style>
  <w:style w:type="paragraph" w:styleId="T2">
    <w:name w:val="toc 2"/>
    <w:basedOn w:val="Normal"/>
    <w:next w:val="Normal"/>
    <w:autoRedefine/>
    <w:uiPriority w:val="98"/>
    <w:semiHidden/>
    <w:rsid w:val="00D406AC"/>
    <w:pPr>
      <w:keepNext/>
      <w:tabs>
        <w:tab w:val="right" w:leader="dot" w:pos="7371"/>
      </w:tabs>
      <w:spacing w:after="60" w:line="240" w:lineRule="exact"/>
      <w:ind w:left="680" w:right="567" w:hanging="340"/>
    </w:pPr>
    <w:rPr>
      <w:sz w:val="22"/>
    </w:rPr>
  </w:style>
  <w:style w:type="paragraph" w:styleId="T3">
    <w:name w:val="toc 3"/>
    <w:basedOn w:val="Normal"/>
    <w:next w:val="Normal"/>
    <w:autoRedefine/>
    <w:uiPriority w:val="98"/>
    <w:semiHidden/>
    <w:rsid w:val="00D406AC"/>
    <w:pPr>
      <w:keepNext/>
      <w:tabs>
        <w:tab w:val="right" w:leader="dot" w:pos="7371"/>
      </w:tabs>
      <w:spacing w:after="60" w:line="240" w:lineRule="exact"/>
      <w:ind w:left="1020" w:right="567" w:hanging="340"/>
    </w:pPr>
    <w:rPr>
      <w:sz w:val="20"/>
    </w:rPr>
  </w:style>
  <w:style w:type="paragraph" w:styleId="T4">
    <w:name w:val="toc 4"/>
    <w:basedOn w:val="Normal"/>
    <w:next w:val="Normal"/>
    <w:autoRedefine/>
    <w:uiPriority w:val="98"/>
    <w:semiHidden/>
    <w:rsid w:val="00D406AC"/>
    <w:pPr>
      <w:keepNext/>
      <w:tabs>
        <w:tab w:val="right" w:leader="dot" w:pos="7371"/>
      </w:tabs>
      <w:spacing w:after="60" w:line="240" w:lineRule="exact"/>
      <w:ind w:left="1361" w:right="567" w:hanging="340"/>
    </w:pPr>
    <w:rPr>
      <w:sz w:val="20"/>
    </w:rPr>
  </w:style>
  <w:style w:type="paragraph" w:styleId="T5">
    <w:name w:val="toc 5"/>
    <w:basedOn w:val="Normal"/>
    <w:next w:val="Normal"/>
    <w:autoRedefine/>
    <w:uiPriority w:val="98"/>
    <w:semiHidden/>
    <w:rsid w:val="00D406AC"/>
    <w:pPr>
      <w:tabs>
        <w:tab w:val="right" w:leader="dot" w:pos="7371"/>
      </w:tabs>
      <w:spacing w:after="60" w:line="240" w:lineRule="exact"/>
      <w:ind w:left="1701" w:right="567" w:hanging="340"/>
    </w:pPr>
    <w:rPr>
      <w:sz w:val="20"/>
    </w:rPr>
  </w:style>
  <w:style w:type="paragraph" w:styleId="TBal">
    <w:name w:val="TOC Heading"/>
    <w:basedOn w:val="Normal"/>
    <w:next w:val="Normal"/>
    <w:uiPriority w:val="98"/>
    <w:semiHidden/>
    <w:qFormat/>
    <w:rsid w:val="00D406AC"/>
    <w:pPr>
      <w:keepNext/>
      <w:keepLines/>
      <w:spacing w:before="240"/>
      <w:contextualSpacing/>
      <w:jc w:val="center"/>
    </w:pPr>
    <w:rPr>
      <w:rFonts w:asciiTheme="majorHAnsi" w:hAnsiTheme="majorHAnsi"/>
      <w:b/>
      <w:color w:val="474747" w:themeColor="accent3" w:themeShade="BF"/>
      <w:sz w:val="28"/>
    </w:rPr>
  </w:style>
  <w:style w:type="table" w:customStyle="1" w:styleId="UGTable">
    <w:name w:val="UG_Table"/>
    <w:aliases w:val="ECHR_UG_Table"/>
    <w:basedOn w:val="NormalTablo"/>
    <w:uiPriority w:val="99"/>
    <w:rsid w:val="00D406AC"/>
    <w:rPr>
      <w:rFonts w:eastAsiaTheme="minorEastAsia"/>
      <w:sz w:val="20"/>
      <w:szCs w:val="24"/>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aliases w:val="ECHR_UG_Table_White_Box"/>
    <w:basedOn w:val="NormalTablo"/>
    <w:uiPriority w:val="99"/>
    <w:rsid w:val="00D406AC"/>
    <w:rPr>
      <w:rFonts w:eastAsiaTheme="minorEastAsia"/>
      <w:sz w:val="24"/>
      <w:szCs w:val="24"/>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aliases w:val="ECHR_PCF_Table_Style"/>
    <w:basedOn w:val="NormalTablo"/>
    <w:uiPriority w:val="99"/>
    <w:rsid w:val="00D406AC"/>
    <w:rPr>
      <w:color w:val="000000" w:themeColor="text1"/>
      <w:sz w:val="18"/>
      <w:szCs w:val="24"/>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ormalTablo"/>
    <w:uiPriority w:val="99"/>
    <w:rsid w:val="00D406AC"/>
    <w:rPr>
      <w:color w:val="000000" w:themeColor="text1"/>
      <w:sz w:val="24"/>
      <w:szCs w:val="24"/>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ormalTablo"/>
    <w:uiPriority w:val="99"/>
    <w:rsid w:val="00D406AC"/>
    <w:rPr>
      <w:sz w:val="24"/>
      <w:szCs w:val="24"/>
    </w:rPr>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basedOn w:val="NormalTablo"/>
    <w:uiPriority w:val="99"/>
    <w:rsid w:val="00D406AC"/>
    <w:rPr>
      <w:sz w:val="24"/>
      <w:szCs w:val="24"/>
    </w:rPr>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paragraph" w:styleId="KaynakaBal">
    <w:name w:val="toa heading"/>
    <w:basedOn w:val="Normal"/>
    <w:next w:val="Normal"/>
    <w:uiPriority w:val="98"/>
    <w:semiHidden/>
    <w:rsid w:val="00D406AC"/>
    <w:pPr>
      <w:keepNext/>
      <w:keepLines/>
      <w:spacing w:before="240"/>
      <w:contextualSpacing/>
      <w:jc w:val="center"/>
    </w:pPr>
    <w:rPr>
      <w:rFonts w:asciiTheme="majorHAnsi" w:eastAsiaTheme="majorEastAsia" w:hAnsiTheme="majorHAnsi" w:cstheme="majorBidi"/>
      <w:b/>
      <w:bCs/>
      <w:color w:val="474747" w:themeColor="accent3" w:themeShade="BF"/>
      <w:sz w:val="28"/>
    </w:rPr>
  </w:style>
  <w:style w:type="paragraph" w:styleId="Altyaz">
    <w:name w:val="Subtitle"/>
    <w:basedOn w:val="Normal"/>
    <w:next w:val="Normal"/>
    <w:link w:val="AltyazChar"/>
    <w:uiPriority w:val="98"/>
    <w:semiHidden/>
    <w:qFormat/>
    <w:rsid w:val="00D406AC"/>
    <w:pPr>
      <w:spacing w:after="600"/>
    </w:pPr>
    <w:rPr>
      <w:rFonts w:asciiTheme="majorHAnsi" w:eastAsiaTheme="majorEastAsia" w:hAnsiTheme="majorHAnsi" w:cstheme="majorBidi"/>
      <w:i/>
      <w:iCs/>
      <w:spacing w:val="13"/>
      <w:lang w:bidi="en-US"/>
    </w:rPr>
  </w:style>
  <w:style w:type="character" w:customStyle="1" w:styleId="AltyazChar">
    <w:name w:val="Altyazı Char"/>
    <w:basedOn w:val="VarsaylanParagrafYazTipi"/>
    <w:link w:val="Altyaz"/>
    <w:uiPriority w:val="98"/>
    <w:semiHidden/>
    <w:rsid w:val="00D406AC"/>
    <w:rPr>
      <w:rFonts w:asciiTheme="majorHAnsi" w:eastAsiaTheme="majorEastAsia" w:hAnsiTheme="majorHAnsi" w:cstheme="majorBidi"/>
      <w:i/>
      <w:iCs/>
      <w:spacing w:val="13"/>
      <w:sz w:val="24"/>
      <w:szCs w:val="24"/>
      <w:lang w:val="fr-FR" w:bidi="en-US"/>
    </w:rPr>
  </w:style>
  <w:style w:type="numbering" w:styleId="111111">
    <w:name w:val="Outline List 2"/>
    <w:basedOn w:val="ListeYok"/>
    <w:uiPriority w:val="99"/>
    <w:semiHidden/>
    <w:unhideWhenUsed/>
    <w:rsid w:val="00D406AC"/>
    <w:pPr>
      <w:numPr>
        <w:numId w:val="3"/>
      </w:numPr>
    </w:pPr>
  </w:style>
  <w:style w:type="paragraph" w:customStyle="1" w:styleId="JuPara">
    <w:name w:val="Ju_Para"/>
    <w:aliases w:val="_Para"/>
    <w:basedOn w:val="NormalJustified"/>
    <w:link w:val="JuParaChar"/>
    <w:uiPriority w:val="4"/>
    <w:qFormat/>
    <w:rsid w:val="00D406AC"/>
    <w:pPr>
      <w:ind w:firstLine="284"/>
    </w:pPr>
  </w:style>
  <w:style w:type="numbering" w:styleId="1ai">
    <w:name w:val="Outline List 1"/>
    <w:basedOn w:val="ListeYok"/>
    <w:uiPriority w:val="99"/>
    <w:semiHidden/>
    <w:unhideWhenUsed/>
    <w:rsid w:val="00D406AC"/>
    <w:pPr>
      <w:numPr>
        <w:numId w:val="4"/>
      </w:numPr>
    </w:pPr>
  </w:style>
  <w:style w:type="table" w:customStyle="1" w:styleId="ECHRTableSimpleBox">
    <w:name w:val="ECHR_Table_Simple_Box"/>
    <w:basedOn w:val="NormalTablo"/>
    <w:uiPriority w:val="99"/>
    <w:rsid w:val="00D406AC"/>
    <w:rPr>
      <w:sz w:val="24"/>
      <w:szCs w:val="24"/>
    </w:rPr>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ormalTablo"/>
    <w:uiPriority w:val="99"/>
    <w:rsid w:val="00D406AC"/>
    <w:rPr>
      <w:sz w:val="24"/>
      <w:szCs w:val="24"/>
    </w:rPr>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numbering" w:styleId="MakaleBlm">
    <w:name w:val="Outline List 3"/>
    <w:basedOn w:val="ListeYok"/>
    <w:uiPriority w:val="99"/>
    <w:semiHidden/>
    <w:unhideWhenUsed/>
    <w:rsid w:val="00D406AC"/>
    <w:pPr>
      <w:numPr>
        <w:numId w:val="5"/>
      </w:numPr>
    </w:pPr>
  </w:style>
  <w:style w:type="table" w:customStyle="1" w:styleId="ECHRTableForInternalUse">
    <w:name w:val="ECHR_Table_For_Internal_Use"/>
    <w:basedOn w:val="NormalTablo"/>
    <w:uiPriority w:val="99"/>
    <w:rsid w:val="00D406AC"/>
    <w:rPr>
      <w:color w:val="636363" w:themeColor="text2" w:themeShade="80"/>
      <w:sz w:val="18"/>
      <w:szCs w:val="24"/>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
    <w:name w:val="ECHR_List_Table"/>
    <w:basedOn w:val="NormalTablo"/>
    <w:uiPriority w:val="99"/>
    <w:rsid w:val="00D406AC"/>
    <w:rPr>
      <w:sz w:val="24"/>
      <w:szCs w:val="24"/>
    </w:rPr>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styleId="Kaynaka">
    <w:name w:val="Bibliography"/>
    <w:basedOn w:val="Normal"/>
    <w:next w:val="Normal"/>
    <w:uiPriority w:val="98"/>
    <w:semiHidden/>
    <w:rsid w:val="00D406AC"/>
  </w:style>
  <w:style w:type="paragraph" w:styleId="bekMetni">
    <w:name w:val="Block Text"/>
    <w:basedOn w:val="Normal"/>
    <w:uiPriority w:val="98"/>
    <w:semiHidden/>
    <w:rsid w:val="00D406AC"/>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table" w:customStyle="1" w:styleId="ECHRHeaderTable">
    <w:name w:val="ECHR_Header_Table"/>
    <w:basedOn w:val="NormalTablo"/>
    <w:uiPriority w:val="99"/>
    <w:rsid w:val="00D406AC"/>
    <w:rPr>
      <w:sz w:val="24"/>
      <w:szCs w:val="24"/>
    </w:rPr>
    <w:tblPr>
      <w:tblInd w:w="-1474"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paragraph" w:styleId="GvdeMetni">
    <w:name w:val="Body Text"/>
    <w:basedOn w:val="Normal"/>
    <w:link w:val="GvdeMetniChar"/>
    <w:uiPriority w:val="98"/>
    <w:semiHidden/>
    <w:rsid w:val="00D406AC"/>
    <w:pPr>
      <w:spacing w:after="120"/>
    </w:pPr>
  </w:style>
  <w:style w:type="character" w:customStyle="1" w:styleId="GvdeMetniChar">
    <w:name w:val="Gövde Metni Char"/>
    <w:basedOn w:val="VarsaylanParagrafYazTipi"/>
    <w:link w:val="GvdeMetni"/>
    <w:uiPriority w:val="98"/>
    <w:semiHidden/>
    <w:rsid w:val="00D406AC"/>
    <w:rPr>
      <w:sz w:val="24"/>
      <w:szCs w:val="24"/>
      <w:lang w:val="fr-FR"/>
    </w:rPr>
  </w:style>
  <w:style w:type="table" w:customStyle="1" w:styleId="ECHRTableOddBanded">
    <w:name w:val="ECHR_Table_Odd_Banded"/>
    <w:basedOn w:val="NormalTablo"/>
    <w:uiPriority w:val="99"/>
    <w:rsid w:val="00D406AC"/>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paragraph" w:styleId="GvdeMetni2">
    <w:name w:val="Body Text 2"/>
    <w:basedOn w:val="Normal"/>
    <w:link w:val="GvdeMetni2Char"/>
    <w:uiPriority w:val="98"/>
    <w:semiHidden/>
    <w:rsid w:val="00D406AC"/>
    <w:pPr>
      <w:spacing w:after="120" w:line="480" w:lineRule="auto"/>
    </w:pPr>
  </w:style>
  <w:style w:type="table" w:customStyle="1" w:styleId="ECHRHeaderTableReduced">
    <w:name w:val="ECHR_Header_Table_Reduced"/>
    <w:basedOn w:val="NormalTablo"/>
    <w:uiPriority w:val="99"/>
    <w:rsid w:val="00D406AC"/>
    <w:rPr>
      <w:sz w:val="24"/>
      <w:szCs w:val="24"/>
    </w:rPr>
    <w:tblPr>
      <w:tblInd w:w="-1474" w:type="dxa"/>
      <w:tblCellMar>
        <w:left w:w="0" w:type="dxa"/>
        <w:right w:w="0" w:type="dxa"/>
      </w:tblCellMar>
    </w:tblPr>
    <w:tcPr>
      <w:vAlign w:val="bottom"/>
    </w:tcPr>
    <w:tblStylePr w:type="firstRow">
      <w:rPr>
        <w:sz w:val="18"/>
      </w:rPr>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customStyle="1" w:styleId="JuCase">
    <w:name w:val="Ju_Case"/>
    <w:aliases w:val="_Case_Name"/>
    <w:basedOn w:val="Normal"/>
    <w:next w:val="JuPara"/>
    <w:uiPriority w:val="32"/>
    <w:rsid w:val="00D406AC"/>
    <w:pPr>
      <w:ind w:firstLine="284"/>
      <w:jc w:val="both"/>
    </w:pPr>
    <w:rPr>
      <w:b/>
    </w:rPr>
  </w:style>
  <w:style w:type="character" w:styleId="SayfaNumaras">
    <w:name w:val="page number"/>
    <w:uiPriority w:val="98"/>
    <w:semiHidden/>
    <w:rsid w:val="00D406AC"/>
    <w:rPr>
      <w:sz w:val="18"/>
    </w:rPr>
  </w:style>
  <w:style w:type="paragraph" w:styleId="ListeMaddemi2">
    <w:name w:val="List Bullet 2"/>
    <w:basedOn w:val="Normal"/>
    <w:uiPriority w:val="98"/>
    <w:semiHidden/>
    <w:rsid w:val="00D406AC"/>
    <w:pPr>
      <w:numPr>
        <w:numId w:val="10"/>
      </w:numPr>
      <w:contextualSpacing/>
    </w:pPr>
  </w:style>
  <w:style w:type="character" w:customStyle="1" w:styleId="GvdeMetni2Char">
    <w:name w:val="Gövde Metni 2 Char"/>
    <w:basedOn w:val="VarsaylanParagrafYazTipi"/>
    <w:link w:val="GvdeMetni2"/>
    <w:uiPriority w:val="98"/>
    <w:semiHidden/>
    <w:rsid w:val="00D406AC"/>
    <w:rPr>
      <w:sz w:val="24"/>
      <w:szCs w:val="24"/>
      <w:lang w:val="fr-FR"/>
    </w:rPr>
  </w:style>
  <w:style w:type="paragraph" w:styleId="GvdeMetni3">
    <w:name w:val="Body Text 3"/>
    <w:basedOn w:val="Normal"/>
    <w:link w:val="GvdeMetni3Char"/>
    <w:uiPriority w:val="98"/>
    <w:semiHidden/>
    <w:rsid w:val="00D406AC"/>
    <w:pPr>
      <w:spacing w:after="120"/>
    </w:pPr>
    <w:rPr>
      <w:sz w:val="16"/>
      <w:szCs w:val="16"/>
    </w:rPr>
  </w:style>
  <w:style w:type="character" w:customStyle="1" w:styleId="GvdeMetni3Char">
    <w:name w:val="Gövde Metni 3 Char"/>
    <w:basedOn w:val="VarsaylanParagrafYazTipi"/>
    <w:link w:val="GvdeMetni3"/>
    <w:uiPriority w:val="98"/>
    <w:semiHidden/>
    <w:rsid w:val="00D406AC"/>
    <w:rPr>
      <w:sz w:val="16"/>
      <w:szCs w:val="16"/>
      <w:lang w:val="fr-FR"/>
    </w:rPr>
  </w:style>
  <w:style w:type="paragraph" w:styleId="GvdeMetnilkGirintisi">
    <w:name w:val="Body Text First Indent"/>
    <w:basedOn w:val="GvdeMetni"/>
    <w:link w:val="GvdeMetnilkGirintisiChar"/>
    <w:uiPriority w:val="98"/>
    <w:semiHidden/>
    <w:rsid w:val="00D406AC"/>
    <w:pPr>
      <w:spacing w:after="0"/>
      <w:ind w:firstLine="360"/>
    </w:pPr>
  </w:style>
  <w:style w:type="character" w:customStyle="1" w:styleId="GvdeMetnilkGirintisiChar">
    <w:name w:val="Gövde Metni İlk Girintisi Char"/>
    <w:basedOn w:val="GvdeMetniChar"/>
    <w:link w:val="GvdeMetnilkGirintisi"/>
    <w:uiPriority w:val="98"/>
    <w:semiHidden/>
    <w:rsid w:val="00D406AC"/>
    <w:rPr>
      <w:sz w:val="24"/>
      <w:szCs w:val="24"/>
      <w:lang w:val="fr-FR"/>
    </w:rPr>
  </w:style>
  <w:style w:type="paragraph" w:styleId="GvdeMetniGirintisi">
    <w:name w:val="Body Text Indent"/>
    <w:basedOn w:val="Normal"/>
    <w:link w:val="GvdeMetniGirintisiChar"/>
    <w:uiPriority w:val="98"/>
    <w:semiHidden/>
    <w:rsid w:val="00D406AC"/>
    <w:pPr>
      <w:spacing w:after="120"/>
      <w:ind w:left="283"/>
    </w:pPr>
  </w:style>
  <w:style w:type="character" w:customStyle="1" w:styleId="GvdeMetniGirintisiChar">
    <w:name w:val="Gövde Metni Girintisi Char"/>
    <w:basedOn w:val="VarsaylanParagrafYazTipi"/>
    <w:link w:val="GvdeMetniGirintisi"/>
    <w:uiPriority w:val="98"/>
    <w:semiHidden/>
    <w:rsid w:val="00D406AC"/>
    <w:rPr>
      <w:sz w:val="24"/>
      <w:szCs w:val="24"/>
      <w:lang w:val="fr-FR"/>
    </w:rPr>
  </w:style>
  <w:style w:type="paragraph" w:styleId="GvdeMetnilkGirintisi2">
    <w:name w:val="Body Text First Indent 2"/>
    <w:basedOn w:val="GvdeMetniGirintisi"/>
    <w:link w:val="GvdeMetnilkGirintisi2Char"/>
    <w:uiPriority w:val="98"/>
    <w:semiHidden/>
    <w:rsid w:val="00D406AC"/>
    <w:pPr>
      <w:spacing w:after="0"/>
      <w:ind w:left="360" w:firstLine="360"/>
    </w:pPr>
  </w:style>
  <w:style w:type="character" w:customStyle="1" w:styleId="GvdeMetnilkGirintisi2Char">
    <w:name w:val="Gövde Metni İlk Girintisi 2 Char"/>
    <w:basedOn w:val="GvdeMetniGirintisiChar"/>
    <w:link w:val="GvdeMetnilkGirintisi2"/>
    <w:uiPriority w:val="98"/>
    <w:semiHidden/>
    <w:rsid w:val="00D406AC"/>
    <w:rPr>
      <w:sz w:val="24"/>
      <w:szCs w:val="24"/>
      <w:lang w:val="fr-FR"/>
    </w:rPr>
  </w:style>
  <w:style w:type="paragraph" w:styleId="GvdeMetniGirintisi2">
    <w:name w:val="Body Text Indent 2"/>
    <w:basedOn w:val="Normal"/>
    <w:link w:val="GvdeMetniGirintisi2Char"/>
    <w:uiPriority w:val="98"/>
    <w:semiHidden/>
    <w:rsid w:val="00D406AC"/>
    <w:pPr>
      <w:spacing w:after="120" w:line="480" w:lineRule="auto"/>
      <w:ind w:left="283"/>
    </w:pPr>
  </w:style>
  <w:style w:type="character" w:customStyle="1" w:styleId="GvdeMetniGirintisi2Char">
    <w:name w:val="Gövde Metni Girintisi 2 Char"/>
    <w:basedOn w:val="VarsaylanParagrafYazTipi"/>
    <w:link w:val="GvdeMetniGirintisi2"/>
    <w:uiPriority w:val="98"/>
    <w:semiHidden/>
    <w:rsid w:val="00D406AC"/>
    <w:rPr>
      <w:sz w:val="24"/>
      <w:szCs w:val="24"/>
      <w:lang w:val="fr-FR"/>
    </w:rPr>
  </w:style>
  <w:style w:type="paragraph" w:styleId="GvdeMetniGirintisi3">
    <w:name w:val="Body Text Indent 3"/>
    <w:basedOn w:val="Normal"/>
    <w:link w:val="GvdeMetniGirintisi3Char"/>
    <w:uiPriority w:val="98"/>
    <w:semiHidden/>
    <w:rsid w:val="00D406AC"/>
    <w:pPr>
      <w:spacing w:after="120"/>
      <w:ind w:left="283"/>
    </w:pPr>
    <w:rPr>
      <w:sz w:val="16"/>
      <w:szCs w:val="16"/>
    </w:rPr>
  </w:style>
  <w:style w:type="character" w:customStyle="1" w:styleId="GvdeMetniGirintisi3Char">
    <w:name w:val="Gövde Metni Girintisi 3 Char"/>
    <w:basedOn w:val="VarsaylanParagrafYazTipi"/>
    <w:link w:val="GvdeMetniGirintisi3"/>
    <w:uiPriority w:val="98"/>
    <w:semiHidden/>
    <w:rsid w:val="00D406AC"/>
    <w:rPr>
      <w:sz w:val="16"/>
      <w:szCs w:val="16"/>
      <w:lang w:val="fr-FR"/>
    </w:rPr>
  </w:style>
  <w:style w:type="paragraph" w:styleId="ResimYazs">
    <w:name w:val="caption"/>
    <w:basedOn w:val="Normal"/>
    <w:next w:val="Normal"/>
    <w:uiPriority w:val="98"/>
    <w:semiHidden/>
    <w:qFormat/>
    <w:rsid w:val="00D406AC"/>
    <w:pPr>
      <w:spacing w:after="200"/>
    </w:pPr>
    <w:rPr>
      <w:b/>
      <w:bCs/>
      <w:color w:val="0072BC" w:themeColor="accent1"/>
      <w:sz w:val="18"/>
      <w:szCs w:val="18"/>
    </w:rPr>
  </w:style>
  <w:style w:type="paragraph" w:styleId="Kapan">
    <w:name w:val="Closing"/>
    <w:basedOn w:val="Normal"/>
    <w:link w:val="KapanChar"/>
    <w:uiPriority w:val="98"/>
    <w:semiHidden/>
    <w:rsid w:val="00D406AC"/>
    <w:pPr>
      <w:ind w:left="4252"/>
    </w:pPr>
  </w:style>
  <w:style w:type="character" w:customStyle="1" w:styleId="KapanChar">
    <w:name w:val="Kapanış Char"/>
    <w:basedOn w:val="VarsaylanParagrafYazTipi"/>
    <w:link w:val="Kapan"/>
    <w:uiPriority w:val="98"/>
    <w:semiHidden/>
    <w:rsid w:val="00D406AC"/>
    <w:rPr>
      <w:sz w:val="24"/>
      <w:szCs w:val="24"/>
      <w:lang w:val="fr-FR"/>
    </w:rPr>
  </w:style>
  <w:style w:type="table" w:styleId="RenkliKlavuz">
    <w:name w:val="Colorful Grid"/>
    <w:basedOn w:val="NormalTablo"/>
    <w:uiPriority w:val="73"/>
    <w:semiHidden/>
    <w:rsid w:val="00D406AC"/>
    <w:rPr>
      <w:color w:val="000000" w:themeColor="text1"/>
      <w:sz w:val="24"/>
      <w:szCs w:val="24"/>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nkliKlavuz-Vurgu1">
    <w:name w:val="Colorful Grid Accent 1"/>
    <w:basedOn w:val="NormalTablo"/>
    <w:uiPriority w:val="73"/>
    <w:semiHidden/>
    <w:rsid w:val="00D406AC"/>
    <w:rPr>
      <w:color w:val="000000" w:themeColor="text1"/>
      <w:sz w:val="24"/>
      <w:szCs w:val="24"/>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RenkliKlavuz-Vurgu2">
    <w:name w:val="Colorful Grid Accent 2"/>
    <w:basedOn w:val="NormalTablo"/>
    <w:uiPriority w:val="73"/>
    <w:semiHidden/>
    <w:rsid w:val="00D406AC"/>
    <w:rPr>
      <w:color w:val="000000" w:themeColor="text1"/>
      <w:sz w:val="24"/>
      <w:szCs w:val="24"/>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RenkliKlavuz-Vurgu3">
    <w:name w:val="Colorful Grid Accent 3"/>
    <w:basedOn w:val="NormalTablo"/>
    <w:uiPriority w:val="73"/>
    <w:semiHidden/>
    <w:rsid w:val="00D406AC"/>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RenkliKlavuz-Vurgu4">
    <w:name w:val="Colorful Grid Accent 4"/>
    <w:basedOn w:val="NormalTablo"/>
    <w:uiPriority w:val="73"/>
    <w:semiHidden/>
    <w:rsid w:val="00D406AC"/>
    <w:rPr>
      <w:color w:val="000000" w:themeColor="text1"/>
      <w:sz w:val="24"/>
      <w:szCs w:val="24"/>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RenkliKlavuz-Vurgu5">
    <w:name w:val="Colorful Grid Accent 5"/>
    <w:basedOn w:val="NormalTablo"/>
    <w:uiPriority w:val="73"/>
    <w:semiHidden/>
    <w:rsid w:val="00D406AC"/>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RenkliKlavuz-Vurgu6">
    <w:name w:val="Colorful Grid Accent 6"/>
    <w:basedOn w:val="NormalTablo"/>
    <w:uiPriority w:val="73"/>
    <w:semiHidden/>
    <w:rsid w:val="00D406AC"/>
    <w:rPr>
      <w:color w:val="000000" w:themeColor="text1"/>
      <w:sz w:val="24"/>
      <w:szCs w:val="24"/>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RenkliListe">
    <w:name w:val="Colorful List"/>
    <w:basedOn w:val="NormalTablo"/>
    <w:uiPriority w:val="72"/>
    <w:semiHidden/>
    <w:rsid w:val="00D406AC"/>
    <w:rPr>
      <w:color w:val="000000" w:themeColor="text1"/>
      <w:sz w:val="24"/>
      <w:szCs w:val="24"/>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RenkliListe-Vurgu1">
    <w:name w:val="Colorful List Accent 1"/>
    <w:basedOn w:val="NormalTablo"/>
    <w:uiPriority w:val="72"/>
    <w:semiHidden/>
    <w:rsid w:val="00D406AC"/>
    <w:rPr>
      <w:color w:val="000000" w:themeColor="text1"/>
      <w:sz w:val="24"/>
      <w:szCs w:val="24"/>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RenkliListe-Vurgu2">
    <w:name w:val="Colorful List Accent 2"/>
    <w:basedOn w:val="NormalTablo"/>
    <w:uiPriority w:val="72"/>
    <w:semiHidden/>
    <w:rsid w:val="00D406AC"/>
    <w:rPr>
      <w:color w:val="000000" w:themeColor="text1"/>
      <w:sz w:val="24"/>
      <w:szCs w:val="24"/>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RenkliListe-Vurgu3">
    <w:name w:val="Colorful List Accent 3"/>
    <w:basedOn w:val="NormalTablo"/>
    <w:uiPriority w:val="72"/>
    <w:semiHidden/>
    <w:rsid w:val="00D406AC"/>
    <w:rPr>
      <w:color w:val="000000" w:themeColor="text1"/>
      <w:sz w:val="24"/>
      <w:szCs w:val="24"/>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RenkliListe-Vurgu4">
    <w:name w:val="Colorful List Accent 4"/>
    <w:basedOn w:val="NormalTablo"/>
    <w:uiPriority w:val="72"/>
    <w:semiHidden/>
    <w:rsid w:val="00D406AC"/>
    <w:rPr>
      <w:color w:val="000000" w:themeColor="text1"/>
      <w:sz w:val="24"/>
      <w:szCs w:val="24"/>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RenkliListe-Vurgu5">
    <w:name w:val="Colorful List Accent 5"/>
    <w:basedOn w:val="NormalTablo"/>
    <w:uiPriority w:val="72"/>
    <w:semiHidden/>
    <w:rsid w:val="00D406AC"/>
    <w:rPr>
      <w:color w:val="000000" w:themeColor="text1"/>
      <w:sz w:val="24"/>
      <w:szCs w:val="24"/>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RenkliListe-Vurgu6">
    <w:name w:val="Colorful List Accent 6"/>
    <w:basedOn w:val="NormalTablo"/>
    <w:uiPriority w:val="72"/>
    <w:semiHidden/>
    <w:rsid w:val="00D406AC"/>
    <w:rPr>
      <w:color w:val="000000" w:themeColor="text1"/>
      <w:sz w:val="24"/>
      <w:szCs w:val="24"/>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RenkliGlgeleme">
    <w:name w:val="Colorful Shading"/>
    <w:basedOn w:val="NormalTablo"/>
    <w:uiPriority w:val="71"/>
    <w:semiHidden/>
    <w:rsid w:val="00D406AC"/>
    <w:rPr>
      <w:color w:val="000000" w:themeColor="text1"/>
      <w:sz w:val="24"/>
      <w:szCs w:val="24"/>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RenkliGlgeleme-Vurgu1">
    <w:name w:val="Colorful Shading Accent 1"/>
    <w:basedOn w:val="NormalTablo"/>
    <w:uiPriority w:val="71"/>
    <w:semiHidden/>
    <w:rsid w:val="00D406AC"/>
    <w:rPr>
      <w:color w:val="000000" w:themeColor="text1"/>
      <w:sz w:val="24"/>
      <w:szCs w:val="24"/>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RenkliGlgeleme-Vurgu2">
    <w:name w:val="Colorful Shading Accent 2"/>
    <w:basedOn w:val="NormalTablo"/>
    <w:uiPriority w:val="71"/>
    <w:semiHidden/>
    <w:rsid w:val="00D406AC"/>
    <w:rPr>
      <w:color w:val="000000" w:themeColor="text1"/>
      <w:sz w:val="24"/>
      <w:szCs w:val="24"/>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RenkliGlgeleme-Vurgu3">
    <w:name w:val="Colorful Shading Accent 3"/>
    <w:basedOn w:val="NormalTablo"/>
    <w:uiPriority w:val="71"/>
    <w:semiHidden/>
    <w:rsid w:val="00D406AC"/>
    <w:rPr>
      <w:color w:val="000000" w:themeColor="text1"/>
      <w:sz w:val="24"/>
      <w:szCs w:val="24"/>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RenkliGlgeleme-Vurgu4">
    <w:name w:val="Colorful Shading Accent 4"/>
    <w:basedOn w:val="NormalTablo"/>
    <w:uiPriority w:val="71"/>
    <w:semiHidden/>
    <w:rsid w:val="00D406AC"/>
    <w:rPr>
      <w:color w:val="000000" w:themeColor="text1"/>
      <w:sz w:val="24"/>
      <w:szCs w:val="24"/>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RenkliGlgeleme-Vurgu5">
    <w:name w:val="Colorful Shading Accent 5"/>
    <w:basedOn w:val="NormalTablo"/>
    <w:uiPriority w:val="71"/>
    <w:semiHidden/>
    <w:rsid w:val="00D406AC"/>
    <w:rPr>
      <w:color w:val="000000" w:themeColor="text1"/>
      <w:sz w:val="24"/>
      <w:szCs w:val="24"/>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RenkliGlgeleme-Vurgu6">
    <w:name w:val="Colorful Shading Accent 6"/>
    <w:basedOn w:val="NormalTablo"/>
    <w:uiPriority w:val="71"/>
    <w:semiHidden/>
    <w:rsid w:val="00D406AC"/>
    <w:rPr>
      <w:color w:val="000000" w:themeColor="text1"/>
      <w:sz w:val="24"/>
      <w:szCs w:val="24"/>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character" w:styleId="AklamaBavurusu">
    <w:name w:val="annotation reference"/>
    <w:basedOn w:val="VarsaylanParagrafYazTipi"/>
    <w:uiPriority w:val="98"/>
    <w:semiHidden/>
    <w:rsid w:val="00D406AC"/>
    <w:rPr>
      <w:sz w:val="16"/>
      <w:szCs w:val="16"/>
    </w:rPr>
  </w:style>
  <w:style w:type="paragraph" w:styleId="AklamaMetni">
    <w:name w:val="annotation text"/>
    <w:basedOn w:val="Normal"/>
    <w:link w:val="AklamaMetniChar"/>
    <w:uiPriority w:val="98"/>
    <w:semiHidden/>
    <w:rsid w:val="00D406AC"/>
    <w:rPr>
      <w:sz w:val="20"/>
      <w:szCs w:val="20"/>
    </w:rPr>
  </w:style>
  <w:style w:type="character" w:customStyle="1" w:styleId="AklamaMetniChar">
    <w:name w:val="Açıklama Metni Char"/>
    <w:basedOn w:val="VarsaylanParagrafYazTipi"/>
    <w:link w:val="AklamaMetni"/>
    <w:uiPriority w:val="98"/>
    <w:semiHidden/>
    <w:rsid w:val="00D406AC"/>
    <w:rPr>
      <w:sz w:val="20"/>
      <w:szCs w:val="20"/>
      <w:lang w:val="fr-FR"/>
    </w:rPr>
  </w:style>
  <w:style w:type="paragraph" w:styleId="AklamaKonusu">
    <w:name w:val="annotation subject"/>
    <w:basedOn w:val="AklamaMetni"/>
    <w:next w:val="AklamaMetni"/>
    <w:link w:val="AklamaKonusuChar"/>
    <w:uiPriority w:val="98"/>
    <w:semiHidden/>
    <w:rsid w:val="00D406AC"/>
    <w:rPr>
      <w:b/>
      <w:bCs/>
    </w:rPr>
  </w:style>
  <w:style w:type="character" w:customStyle="1" w:styleId="AklamaKonusuChar">
    <w:name w:val="Açıklama Konusu Char"/>
    <w:basedOn w:val="AklamaMetniChar"/>
    <w:link w:val="AklamaKonusu"/>
    <w:uiPriority w:val="98"/>
    <w:semiHidden/>
    <w:rsid w:val="00D406AC"/>
    <w:rPr>
      <w:b/>
      <w:bCs/>
      <w:sz w:val="20"/>
      <w:szCs w:val="20"/>
      <w:lang w:val="fr-FR"/>
    </w:rPr>
  </w:style>
  <w:style w:type="table" w:styleId="KoyuListe">
    <w:name w:val="Dark List"/>
    <w:basedOn w:val="NormalTablo"/>
    <w:uiPriority w:val="70"/>
    <w:semiHidden/>
    <w:rsid w:val="00D406AC"/>
    <w:rPr>
      <w:color w:val="0072BC" w:themeColor="background1"/>
      <w:sz w:val="24"/>
      <w:szCs w:val="24"/>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KoyuListe-Vurgu1">
    <w:name w:val="Dark List Accent 1"/>
    <w:basedOn w:val="NormalTablo"/>
    <w:uiPriority w:val="70"/>
    <w:semiHidden/>
    <w:rsid w:val="00D406AC"/>
    <w:rPr>
      <w:color w:val="0072BC" w:themeColor="background1"/>
      <w:sz w:val="24"/>
      <w:szCs w:val="24"/>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KoyuListe-Vurgu2">
    <w:name w:val="Dark List Accent 2"/>
    <w:basedOn w:val="NormalTablo"/>
    <w:uiPriority w:val="70"/>
    <w:semiHidden/>
    <w:rsid w:val="00D406AC"/>
    <w:rPr>
      <w:color w:val="0072BC" w:themeColor="background1"/>
      <w:sz w:val="24"/>
      <w:szCs w:val="24"/>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KoyuListe-Vurgu3">
    <w:name w:val="Dark List Accent 3"/>
    <w:basedOn w:val="NormalTablo"/>
    <w:uiPriority w:val="70"/>
    <w:semiHidden/>
    <w:rsid w:val="00D406AC"/>
    <w:rPr>
      <w:color w:val="0072BC" w:themeColor="background1"/>
      <w:sz w:val="24"/>
      <w:szCs w:val="24"/>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KoyuListe-Vurgu4">
    <w:name w:val="Dark List Accent 4"/>
    <w:basedOn w:val="NormalTablo"/>
    <w:uiPriority w:val="70"/>
    <w:semiHidden/>
    <w:rsid w:val="00D406AC"/>
    <w:rPr>
      <w:color w:val="0072BC" w:themeColor="background1"/>
      <w:sz w:val="24"/>
      <w:szCs w:val="24"/>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KoyuListe-Vurgu5">
    <w:name w:val="Dark List Accent 5"/>
    <w:basedOn w:val="NormalTablo"/>
    <w:uiPriority w:val="70"/>
    <w:semiHidden/>
    <w:rsid w:val="00D406AC"/>
    <w:rPr>
      <w:color w:val="0072BC" w:themeColor="background1"/>
      <w:sz w:val="24"/>
      <w:szCs w:val="24"/>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KoyuListe-Vurgu6">
    <w:name w:val="Dark List Accent 6"/>
    <w:basedOn w:val="NormalTablo"/>
    <w:uiPriority w:val="70"/>
    <w:semiHidden/>
    <w:rsid w:val="00D406AC"/>
    <w:rPr>
      <w:color w:val="0072BC" w:themeColor="background1"/>
      <w:sz w:val="24"/>
      <w:szCs w:val="24"/>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Tarih">
    <w:name w:val="Date"/>
    <w:basedOn w:val="Normal"/>
    <w:next w:val="Normal"/>
    <w:link w:val="TarihChar"/>
    <w:uiPriority w:val="98"/>
    <w:semiHidden/>
    <w:rsid w:val="00D406AC"/>
  </w:style>
  <w:style w:type="character" w:customStyle="1" w:styleId="TarihChar">
    <w:name w:val="Tarih Char"/>
    <w:basedOn w:val="VarsaylanParagrafYazTipi"/>
    <w:link w:val="Tarih"/>
    <w:uiPriority w:val="98"/>
    <w:semiHidden/>
    <w:rsid w:val="00D406AC"/>
    <w:rPr>
      <w:sz w:val="24"/>
      <w:szCs w:val="24"/>
      <w:lang w:val="fr-FR"/>
    </w:rPr>
  </w:style>
  <w:style w:type="paragraph" w:styleId="BelgeBalantlar">
    <w:name w:val="Document Map"/>
    <w:basedOn w:val="Normal"/>
    <w:link w:val="BelgeBalantlarChar"/>
    <w:uiPriority w:val="98"/>
    <w:semiHidden/>
    <w:rsid w:val="00D406AC"/>
    <w:rPr>
      <w:rFonts w:ascii="Tahoma" w:hAnsi="Tahoma" w:cs="Tahoma"/>
      <w:sz w:val="16"/>
      <w:szCs w:val="16"/>
    </w:rPr>
  </w:style>
  <w:style w:type="character" w:customStyle="1" w:styleId="BelgeBalantlarChar">
    <w:name w:val="Belge Bağlantıları Char"/>
    <w:basedOn w:val="VarsaylanParagrafYazTipi"/>
    <w:link w:val="BelgeBalantlar"/>
    <w:uiPriority w:val="98"/>
    <w:semiHidden/>
    <w:rsid w:val="00D406AC"/>
    <w:rPr>
      <w:rFonts w:ascii="Tahoma" w:hAnsi="Tahoma" w:cs="Tahoma"/>
      <w:sz w:val="16"/>
      <w:szCs w:val="16"/>
      <w:lang w:val="fr-FR"/>
    </w:rPr>
  </w:style>
  <w:style w:type="paragraph" w:styleId="E-postamzas">
    <w:name w:val="E-mail Signature"/>
    <w:basedOn w:val="Normal"/>
    <w:link w:val="E-postamzasChar"/>
    <w:uiPriority w:val="98"/>
    <w:semiHidden/>
    <w:rsid w:val="00D406AC"/>
  </w:style>
  <w:style w:type="character" w:customStyle="1" w:styleId="E-postamzasChar">
    <w:name w:val="E-posta İmzası Char"/>
    <w:basedOn w:val="VarsaylanParagrafYazTipi"/>
    <w:link w:val="E-postamzas"/>
    <w:uiPriority w:val="98"/>
    <w:semiHidden/>
    <w:rsid w:val="00D406AC"/>
    <w:rPr>
      <w:sz w:val="24"/>
      <w:szCs w:val="24"/>
      <w:lang w:val="fr-FR"/>
    </w:rPr>
  </w:style>
  <w:style w:type="character" w:styleId="SonnotBavurusu">
    <w:name w:val="endnote reference"/>
    <w:basedOn w:val="VarsaylanParagrafYazTipi"/>
    <w:uiPriority w:val="98"/>
    <w:semiHidden/>
    <w:rsid w:val="00D406AC"/>
    <w:rPr>
      <w:vertAlign w:val="superscript"/>
    </w:rPr>
  </w:style>
  <w:style w:type="paragraph" w:styleId="SonnotMetni">
    <w:name w:val="endnote text"/>
    <w:basedOn w:val="Normal"/>
    <w:link w:val="SonnotMetniChar"/>
    <w:uiPriority w:val="98"/>
    <w:semiHidden/>
    <w:rsid w:val="00D406AC"/>
    <w:rPr>
      <w:sz w:val="20"/>
      <w:szCs w:val="20"/>
    </w:rPr>
  </w:style>
  <w:style w:type="character" w:customStyle="1" w:styleId="SonnotMetniChar">
    <w:name w:val="Sonnot Metni Char"/>
    <w:basedOn w:val="VarsaylanParagrafYazTipi"/>
    <w:link w:val="SonnotMetni"/>
    <w:uiPriority w:val="98"/>
    <w:semiHidden/>
    <w:rsid w:val="00D406AC"/>
    <w:rPr>
      <w:sz w:val="20"/>
      <w:szCs w:val="20"/>
      <w:lang w:val="fr-FR"/>
    </w:rPr>
  </w:style>
  <w:style w:type="paragraph" w:styleId="MektupAdresi">
    <w:name w:val="envelope address"/>
    <w:basedOn w:val="Normal"/>
    <w:uiPriority w:val="98"/>
    <w:semiHidden/>
    <w:rsid w:val="00D406AC"/>
    <w:pPr>
      <w:framePr w:w="7938" w:h="1985" w:hRule="exact" w:hSpace="141" w:wrap="auto" w:hAnchor="page" w:xAlign="center" w:yAlign="bottom"/>
      <w:ind w:left="2835"/>
    </w:pPr>
    <w:rPr>
      <w:rFonts w:asciiTheme="majorHAnsi" w:eastAsiaTheme="majorEastAsia" w:hAnsiTheme="majorHAnsi" w:cstheme="majorBidi"/>
    </w:rPr>
  </w:style>
  <w:style w:type="paragraph" w:styleId="ZarfDn">
    <w:name w:val="envelope return"/>
    <w:basedOn w:val="Normal"/>
    <w:uiPriority w:val="98"/>
    <w:semiHidden/>
    <w:rsid w:val="00D406AC"/>
    <w:rPr>
      <w:rFonts w:asciiTheme="majorHAnsi" w:eastAsiaTheme="majorEastAsia" w:hAnsiTheme="majorHAnsi" w:cstheme="majorBidi"/>
      <w:sz w:val="20"/>
      <w:szCs w:val="20"/>
    </w:rPr>
  </w:style>
  <w:style w:type="character" w:styleId="zlenenKpr">
    <w:name w:val="FollowedHyperlink"/>
    <w:basedOn w:val="VarsaylanParagrafYazTipi"/>
    <w:uiPriority w:val="98"/>
    <w:semiHidden/>
    <w:rsid w:val="00D406AC"/>
    <w:rPr>
      <w:color w:val="7030A0" w:themeColor="followedHyperlink"/>
      <w:u w:val="single"/>
    </w:rPr>
  </w:style>
  <w:style w:type="character" w:styleId="HTMLKsaltmas">
    <w:name w:val="HTML Acronym"/>
    <w:basedOn w:val="VarsaylanParagrafYazTipi"/>
    <w:uiPriority w:val="98"/>
    <w:semiHidden/>
    <w:rsid w:val="00D406AC"/>
  </w:style>
  <w:style w:type="paragraph" w:styleId="HTMLAdresi">
    <w:name w:val="HTML Address"/>
    <w:basedOn w:val="Normal"/>
    <w:link w:val="HTMLAdresiChar"/>
    <w:uiPriority w:val="98"/>
    <w:semiHidden/>
    <w:rsid w:val="00D406AC"/>
    <w:rPr>
      <w:i/>
      <w:iCs/>
    </w:rPr>
  </w:style>
  <w:style w:type="character" w:customStyle="1" w:styleId="HTMLAdresiChar">
    <w:name w:val="HTML Adresi Char"/>
    <w:basedOn w:val="VarsaylanParagrafYazTipi"/>
    <w:link w:val="HTMLAdresi"/>
    <w:uiPriority w:val="98"/>
    <w:semiHidden/>
    <w:rsid w:val="00D406AC"/>
    <w:rPr>
      <w:i/>
      <w:iCs/>
      <w:sz w:val="24"/>
      <w:szCs w:val="24"/>
      <w:lang w:val="fr-FR"/>
    </w:rPr>
  </w:style>
  <w:style w:type="character" w:styleId="HTMLCite">
    <w:name w:val="HTML Cite"/>
    <w:basedOn w:val="VarsaylanParagrafYazTipi"/>
    <w:uiPriority w:val="98"/>
    <w:semiHidden/>
    <w:rsid w:val="00D406AC"/>
    <w:rPr>
      <w:i/>
      <w:iCs/>
    </w:rPr>
  </w:style>
  <w:style w:type="character" w:styleId="HTMLKodu">
    <w:name w:val="HTML Code"/>
    <w:basedOn w:val="VarsaylanParagrafYazTipi"/>
    <w:uiPriority w:val="98"/>
    <w:semiHidden/>
    <w:rsid w:val="00D406AC"/>
    <w:rPr>
      <w:rFonts w:ascii="Consolas" w:hAnsi="Consolas" w:cs="Consolas"/>
      <w:sz w:val="20"/>
      <w:szCs w:val="20"/>
    </w:rPr>
  </w:style>
  <w:style w:type="character" w:styleId="HTMLTanm">
    <w:name w:val="HTML Definition"/>
    <w:basedOn w:val="VarsaylanParagrafYazTipi"/>
    <w:uiPriority w:val="98"/>
    <w:semiHidden/>
    <w:rsid w:val="00D406AC"/>
    <w:rPr>
      <w:i/>
      <w:iCs/>
    </w:rPr>
  </w:style>
  <w:style w:type="character" w:styleId="HTMLKlavye">
    <w:name w:val="HTML Keyboard"/>
    <w:basedOn w:val="VarsaylanParagrafYazTipi"/>
    <w:uiPriority w:val="98"/>
    <w:semiHidden/>
    <w:rsid w:val="00D406AC"/>
    <w:rPr>
      <w:rFonts w:ascii="Consolas" w:hAnsi="Consolas" w:cs="Consolas"/>
      <w:sz w:val="20"/>
      <w:szCs w:val="20"/>
    </w:rPr>
  </w:style>
  <w:style w:type="paragraph" w:styleId="HTMLncedenBiimlendirilmi">
    <w:name w:val="HTML Preformatted"/>
    <w:basedOn w:val="Normal"/>
    <w:link w:val="HTMLncedenBiimlendirilmiChar"/>
    <w:uiPriority w:val="98"/>
    <w:semiHidden/>
    <w:rsid w:val="00D406AC"/>
    <w:rPr>
      <w:rFonts w:ascii="Consolas" w:hAnsi="Consolas" w:cs="Consolas"/>
      <w:sz w:val="20"/>
      <w:szCs w:val="20"/>
    </w:rPr>
  </w:style>
  <w:style w:type="character" w:customStyle="1" w:styleId="HTMLncedenBiimlendirilmiChar">
    <w:name w:val="HTML Önceden Biçimlendirilmiş Char"/>
    <w:basedOn w:val="VarsaylanParagrafYazTipi"/>
    <w:link w:val="HTMLncedenBiimlendirilmi"/>
    <w:uiPriority w:val="98"/>
    <w:semiHidden/>
    <w:rsid w:val="00D406AC"/>
    <w:rPr>
      <w:rFonts w:ascii="Consolas" w:hAnsi="Consolas" w:cs="Consolas"/>
      <w:sz w:val="20"/>
      <w:szCs w:val="20"/>
      <w:lang w:val="fr-FR"/>
    </w:rPr>
  </w:style>
  <w:style w:type="character" w:styleId="HTMLrnek">
    <w:name w:val="HTML Sample"/>
    <w:basedOn w:val="VarsaylanParagrafYazTipi"/>
    <w:uiPriority w:val="98"/>
    <w:semiHidden/>
    <w:rsid w:val="00D406AC"/>
    <w:rPr>
      <w:rFonts w:ascii="Consolas" w:hAnsi="Consolas" w:cs="Consolas"/>
      <w:sz w:val="24"/>
      <w:szCs w:val="24"/>
    </w:rPr>
  </w:style>
  <w:style w:type="character" w:styleId="HTMLDaktilo">
    <w:name w:val="HTML Typewriter"/>
    <w:basedOn w:val="VarsaylanParagrafYazTipi"/>
    <w:uiPriority w:val="98"/>
    <w:semiHidden/>
    <w:rsid w:val="00D406AC"/>
    <w:rPr>
      <w:rFonts w:ascii="Consolas" w:hAnsi="Consolas" w:cs="Consolas"/>
      <w:sz w:val="20"/>
      <w:szCs w:val="20"/>
    </w:rPr>
  </w:style>
  <w:style w:type="character" w:styleId="HTMLDeiken">
    <w:name w:val="HTML Variable"/>
    <w:basedOn w:val="VarsaylanParagrafYazTipi"/>
    <w:uiPriority w:val="98"/>
    <w:semiHidden/>
    <w:rsid w:val="00D406AC"/>
    <w:rPr>
      <w:i/>
      <w:iCs/>
    </w:rPr>
  </w:style>
  <w:style w:type="paragraph" w:styleId="Dizin1">
    <w:name w:val="index 1"/>
    <w:basedOn w:val="Normal"/>
    <w:next w:val="Normal"/>
    <w:autoRedefine/>
    <w:uiPriority w:val="98"/>
    <w:semiHidden/>
    <w:rsid w:val="00D406AC"/>
    <w:pPr>
      <w:ind w:left="240" w:hanging="240"/>
    </w:pPr>
  </w:style>
  <w:style w:type="paragraph" w:styleId="Dizin2">
    <w:name w:val="index 2"/>
    <w:basedOn w:val="Normal"/>
    <w:next w:val="Normal"/>
    <w:autoRedefine/>
    <w:uiPriority w:val="98"/>
    <w:semiHidden/>
    <w:rsid w:val="00D406AC"/>
    <w:pPr>
      <w:ind w:left="480" w:hanging="240"/>
    </w:pPr>
  </w:style>
  <w:style w:type="paragraph" w:styleId="Dizin3">
    <w:name w:val="index 3"/>
    <w:basedOn w:val="Normal"/>
    <w:next w:val="Normal"/>
    <w:autoRedefine/>
    <w:uiPriority w:val="98"/>
    <w:semiHidden/>
    <w:rsid w:val="00D406AC"/>
    <w:pPr>
      <w:ind w:left="720" w:hanging="240"/>
    </w:pPr>
  </w:style>
  <w:style w:type="paragraph" w:styleId="Dizin4">
    <w:name w:val="index 4"/>
    <w:basedOn w:val="Normal"/>
    <w:next w:val="Normal"/>
    <w:autoRedefine/>
    <w:uiPriority w:val="98"/>
    <w:semiHidden/>
    <w:rsid w:val="00D406AC"/>
    <w:pPr>
      <w:ind w:left="960" w:hanging="240"/>
    </w:pPr>
  </w:style>
  <w:style w:type="paragraph" w:styleId="Dizin5">
    <w:name w:val="index 5"/>
    <w:basedOn w:val="Normal"/>
    <w:next w:val="Normal"/>
    <w:autoRedefine/>
    <w:uiPriority w:val="98"/>
    <w:semiHidden/>
    <w:rsid w:val="00D406AC"/>
    <w:pPr>
      <w:ind w:left="1200" w:hanging="240"/>
    </w:pPr>
  </w:style>
  <w:style w:type="paragraph" w:styleId="Dizin6">
    <w:name w:val="index 6"/>
    <w:basedOn w:val="Normal"/>
    <w:next w:val="Normal"/>
    <w:autoRedefine/>
    <w:uiPriority w:val="98"/>
    <w:semiHidden/>
    <w:rsid w:val="00D406AC"/>
    <w:pPr>
      <w:ind w:left="1440" w:hanging="240"/>
    </w:pPr>
  </w:style>
  <w:style w:type="paragraph" w:styleId="Dizin7">
    <w:name w:val="index 7"/>
    <w:basedOn w:val="Normal"/>
    <w:next w:val="Normal"/>
    <w:autoRedefine/>
    <w:uiPriority w:val="98"/>
    <w:semiHidden/>
    <w:rsid w:val="00D406AC"/>
    <w:pPr>
      <w:ind w:left="1680" w:hanging="240"/>
    </w:pPr>
  </w:style>
  <w:style w:type="paragraph" w:styleId="Dizin8">
    <w:name w:val="index 8"/>
    <w:basedOn w:val="Normal"/>
    <w:next w:val="Normal"/>
    <w:autoRedefine/>
    <w:uiPriority w:val="98"/>
    <w:semiHidden/>
    <w:rsid w:val="00D406AC"/>
    <w:pPr>
      <w:ind w:left="1920" w:hanging="240"/>
    </w:pPr>
  </w:style>
  <w:style w:type="paragraph" w:styleId="Dizin9">
    <w:name w:val="index 9"/>
    <w:basedOn w:val="Normal"/>
    <w:next w:val="Normal"/>
    <w:autoRedefine/>
    <w:uiPriority w:val="98"/>
    <w:semiHidden/>
    <w:rsid w:val="00D406AC"/>
    <w:pPr>
      <w:ind w:left="2160" w:hanging="240"/>
    </w:pPr>
  </w:style>
  <w:style w:type="paragraph" w:styleId="DizinBal">
    <w:name w:val="index heading"/>
    <w:basedOn w:val="Normal"/>
    <w:next w:val="Dizin1"/>
    <w:uiPriority w:val="98"/>
    <w:semiHidden/>
    <w:rsid w:val="00D406AC"/>
    <w:rPr>
      <w:rFonts w:asciiTheme="majorHAnsi" w:eastAsiaTheme="majorEastAsia" w:hAnsiTheme="majorHAnsi" w:cstheme="majorBidi"/>
      <w:b/>
      <w:bCs/>
    </w:rPr>
  </w:style>
  <w:style w:type="table" w:styleId="AkKlavuz">
    <w:name w:val="Light Grid"/>
    <w:basedOn w:val="NormalTablo"/>
    <w:uiPriority w:val="62"/>
    <w:semiHidden/>
    <w:rsid w:val="00D406AC"/>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AkKlavuz-Vurgu1">
    <w:name w:val="Light Grid Accent 1"/>
    <w:basedOn w:val="NormalTablo"/>
    <w:uiPriority w:val="62"/>
    <w:semiHidden/>
    <w:rsid w:val="00D406AC"/>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AkKlavuz-Vurgu2">
    <w:name w:val="Light Grid Accent 2"/>
    <w:basedOn w:val="NormalTablo"/>
    <w:uiPriority w:val="62"/>
    <w:semiHidden/>
    <w:rsid w:val="00D406AC"/>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AkKlavuz-Vurgu3">
    <w:name w:val="Light Grid Accent 3"/>
    <w:basedOn w:val="NormalTablo"/>
    <w:uiPriority w:val="62"/>
    <w:semiHidden/>
    <w:rsid w:val="00D406AC"/>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AkKlavuz-Vurgu4">
    <w:name w:val="Light Grid Accent 4"/>
    <w:basedOn w:val="NormalTablo"/>
    <w:uiPriority w:val="62"/>
    <w:semiHidden/>
    <w:rsid w:val="00D406AC"/>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AkKlavuz-Vurgu5">
    <w:name w:val="Light Grid Accent 5"/>
    <w:basedOn w:val="NormalTablo"/>
    <w:uiPriority w:val="62"/>
    <w:semiHidden/>
    <w:rsid w:val="00D406AC"/>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AkKlavuz-Vurgu6">
    <w:name w:val="Light Grid Accent 6"/>
    <w:basedOn w:val="NormalTablo"/>
    <w:uiPriority w:val="62"/>
    <w:semiHidden/>
    <w:rsid w:val="00D406AC"/>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AkListe">
    <w:name w:val="Light List"/>
    <w:basedOn w:val="NormalTablo"/>
    <w:uiPriority w:val="61"/>
    <w:semiHidden/>
    <w:rsid w:val="00D406AC"/>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kListe-Vurgu1">
    <w:name w:val="Light List Accent 1"/>
    <w:basedOn w:val="NormalTablo"/>
    <w:uiPriority w:val="61"/>
    <w:semiHidden/>
    <w:rsid w:val="00D406AC"/>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AkListe-Vurgu2">
    <w:name w:val="Light List Accent 2"/>
    <w:basedOn w:val="NormalTablo"/>
    <w:uiPriority w:val="61"/>
    <w:semiHidden/>
    <w:rsid w:val="00D406AC"/>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AkListe-Vurgu3">
    <w:name w:val="Light List Accent 3"/>
    <w:basedOn w:val="NormalTablo"/>
    <w:uiPriority w:val="61"/>
    <w:semiHidden/>
    <w:rsid w:val="00D406AC"/>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AkListe-Vurgu4">
    <w:name w:val="Light List Accent 4"/>
    <w:basedOn w:val="NormalTablo"/>
    <w:uiPriority w:val="61"/>
    <w:semiHidden/>
    <w:rsid w:val="00D406AC"/>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AkListe-Vurgu5">
    <w:name w:val="Light List Accent 5"/>
    <w:basedOn w:val="NormalTablo"/>
    <w:uiPriority w:val="61"/>
    <w:semiHidden/>
    <w:rsid w:val="00D406AC"/>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AkListe-Vurgu6">
    <w:name w:val="Light List Accent 6"/>
    <w:basedOn w:val="NormalTablo"/>
    <w:uiPriority w:val="61"/>
    <w:semiHidden/>
    <w:rsid w:val="00D406AC"/>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AkGlgeleme">
    <w:name w:val="Light Shading"/>
    <w:basedOn w:val="NormalTablo"/>
    <w:uiPriority w:val="60"/>
    <w:semiHidden/>
    <w:rsid w:val="00D406AC"/>
    <w:rPr>
      <w:color w:val="000000" w:themeColor="text1" w:themeShade="BF"/>
      <w:sz w:val="24"/>
      <w:szCs w:val="24"/>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AkGlgeleme-Vurgu1">
    <w:name w:val="Light Shading Accent 1"/>
    <w:basedOn w:val="NormalTablo"/>
    <w:uiPriority w:val="60"/>
    <w:semiHidden/>
    <w:rsid w:val="00D406AC"/>
    <w:rPr>
      <w:color w:val="00548C" w:themeColor="accent1" w:themeShade="BF"/>
      <w:sz w:val="24"/>
      <w:szCs w:val="24"/>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AkGlgeleme-Vurgu2">
    <w:name w:val="Light Shading Accent 2"/>
    <w:basedOn w:val="NormalTablo"/>
    <w:uiPriority w:val="60"/>
    <w:semiHidden/>
    <w:rsid w:val="00D406AC"/>
    <w:rPr>
      <w:color w:val="8F0000" w:themeColor="accent2" w:themeShade="BF"/>
      <w:sz w:val="24"/>
      <w:szCs w:val="24"/>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AkGlgeleme-Vurgu3">
    <w:name w:val="Light Shading Accent 3"/>
    <w:basedOn w:val="NormalTablo"/>
    <w:uiPriority w:val="60"/>
    <w:semiHidden/>
    <w:rsid w:val="00D406AC"/>
    <w:rPr>
      <w:color w:val="474747" w:themeColor="accent3" w:themeShade="BF"/>
      <w:sz w:val="24"/>
      <w:szCs w:val="24"/>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AkGlgeleme-Vurgu4">
    <w:name w:val="Light Shading Accent 4"/>
    <w:basedOn w:val="NormalTablo"/>
    <w:uiPriority w:val="60"/>
    <w:semiHidden/>
    <w:rsid w:val="00D406AC"/>
    <w:rPr>
      <w:color w:val="707070" w:themeColor="accent4" w:themeShade="BF"/>
      <w:sz w:val="24"/>
      <w:szCs w:val="24"/>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AkGlgeleme-Vurgu5">
    <w:name w:val="Light Shading Accent 5"/>
    <w:basedOn w:val="NormalTablo"/>
    <w:uiPriority w:val="60"/>
    <w:semiHidden/>
    <w:rsid w:val="00D406AC"/>
    <w:rPr>
      <w:color w:val="474747" w:themeColor="accent5" w:themeShade="BF"/>
      <w:sz w:val="24"/>
      <w:szCs w:val="24"/>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AkGlgeleme-Vurgu6">
    <w:name w:val="Light Shading Accent 6"/>
    <w:basedOn w:val="NormalTablo"/>
    <w:uiPriority w:val="60"/>
    <w:semiHidden/>
    <w:rsid w:val="00D406AC"/>
    <w:rPr>
      <w:color w:val="393939" w:themeColor="accent6" w:themeShade="BF"/>
      <w:sz w:val="24"/>
      <w:szCs w:val="24"/>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SatrNumaras">
    <w:name w:val="line number"/>
    <w:basedOn w:val="VarsaylanParagrafYazTipi"/>
    <w:uiPriority w:val="98"/>
    <w:semiHidden/>
    <w:rsid w:val="00D406AC"/>
  </w:style>
  <w:style w:type="paragraph" w:styleId="Liste">
    <w:name w:val="List"/>
    <w:basedOn w:val="Normal"/>
    <w:uiPriority w:val="98"/>
    <w:semiHidden/>
    <w:rsid w:val="00D406AC"/>
    <w:pPr>
      <w:ind w:left="283" w:hanging="283"/>
      <w:contextualSpacing/>
    </w:pPr>
  </w:style>
  <w:style w:type="paragraph" w:styleId="Liste2">
    <w:name w:val="List 2"/>
    <w:basedOn w:val="Normal"/>
    <w:uiPriority w:val="98"/>
    <w:semiHidden/>
    <w:rsid w:val="00D406AC"/>
    <w:pPr>
      <w:ind w:left="566" w:hanging="283"/>
      <w:contextualSpacing/>
    </w:pPr>
  </w:style>
  <w:style w:type="paragraph" w:styleId="Liste3">
    <w:name w:val="List 3"/>
    <w:basedOn w:val="Normal"/>
    <w:uiPriority w:val="98"/>
    <w:semiHidden/>
    <w:rsid w:val="00D406AC"/>
    <w:pPr>
      <w:ind w:left="849" w:hanging="283"/>
      <w:contextualSpacing/>
    </w:pPr>
  </w:style>
  <w:style w:type="paragraph" w:styleId="Liste4">
    <w:name w:val="List 4"/>
    <w:basedOn w:val="Normal"/>
    <w:uiPriority w:val="98"/>
    <w:semiHidden/>
    <w:rsid w:val="00D406AC"/>
    <w:pPr>
      <w:ind w:left="1132" w:hanging="283"/>
      <w:contextualSpacing/>
    </w:pPr>
  </w:style>
  <w:style w:type="paragraph" w:styleId="Liste5">
    <w:name w:val="List 5"/>
    <w:basedOn w:val="Normal"/>
    <w:uiPriority w:val="98"/>
    <w:semiHidden/>
    <w:rsid w:val="00D406AC"/>
    <w:pPr>
      <w:ind w:left="1415" w:hanging="283"/>
      <w:contextualSpacing/>
    </w:pPr>
  </w:style>
  <w:style w:type="paragraph" w:styleId="ListeMaddemi">
    <w:name w:val="List Bullet"/>
    <w:basedOn w:val="Normal"/>
    <w:uiPriority w:val="98"/>
    <w:semiHidden/>
    <w:rsid w:val="00D406AC"/>
    <w:pPr>
      <w:numPr>
        <w:numId w:val="9"/>
      </w:numPr>
    </w:pPr>
  </w:style>
  <w:style w:type="paragraph" w:styleId="ListeMaddemi3">
    <w:name w:val="List Bullet 3"/>
    <w:basedOn w:val="Normal"/>
    <w:uiPriority w:val="98"/>
    <w:semiHidden/>
    <w:rsid w:val="00D406AC"/>
    <w:pPr>
      <w:numPr>
        <w:numId w:val="11"/>
      </w:numPr>
      <w:contextualSpacing/>
    </w:pPr>
  </w:style>
  <w:style w:type="paragraph" w:styleId="ListeMaddemi4">
    <w:name w:val="List Bullet 4"/>
    <w:basedOn w:val="Normal"/>
    <w:uiPriority w:val="98"/>
    <w:semiHidden/>
    <w:rsid w:val="00D406AC"/>
    <w:pPr>
      <w:numPr>
        <w:numId w:val="12"/>
      </w:numPr>
      <w:contextualSpacing/>
    </w:pPr>
  </w:style>
  <w:style w:type="paragraph" w:styleId="ListeMaddemi5">
    <w:name w:val="List Bullet 5"/>
    <w:basedOn w:val="Normal"/>
    <w:uiPriority w:val="98"/>
    <w:semiHidden/>
    <w:rsid w:val="00D406AC"/>
    <w:pPr>
      <w:numPr>
        <w:numId w:val="13"/>
      </w:numPr>
      <w:contextualSpacing/>
    </w:pPr>
  </w:style>
  <w:style w:type="paragraph" w:styleId="ListeDevam">
    <w:name w:val="List Continue"/>
    <w:basedOn w:val="Normal"/>
    <w:uiPriority w:val="98"/>
    <w:semiHidden/>
    <w:rsid w:val="00D406AC"/>
    <w:pPr>
      <w:spacing w:after="120"/>
      <w:ind w:left="283"/>
      <w:contextualSpacing/>
    </w:pPr>
  </w:style>
  <w:style w:type="paragraph" w:styleId="ListeDevam2">
    <w:name w:val="List Continue 2"/>
    <w:basedOn w:val="Normal"/>
    <w:uiPriority w:val="98"/>
    <w:semiHidden/>
    <w:rsid w:val="00D406AC"/>
    <w:pPr>
      <w:spacing w:after="120"/>
      <w:ind w:left="566"/>
      <w:contextualSpacing/>
    </w:pPr>
  </w:style>
  <w:style w:type="paragraph" w:styleId="ListeDevam3">
    <w:name w:val="List Continue 3"/>
    <w:basedOn w:val="Normal"/>
    <w:uiPriority w:val="98"/>
    <w:semiHidden/>
    <w:rsid w:val="00D406AC"/>
    <w:pPr>
      <w:spacing w:after="120"/>
      <w:ind w:left="849"/>
      <w:contextualSpacing/>
    </w:pPr>
  </w:style>
  <w:style w:type="paragraph" w:styleId="ListeDevam4">
    <w:name w:val="List Continue 4"/>
    <w:basedOn w:val="Normal"/>
    <w:uiPriority w:val="98"/>
    <w:semiHidden/>
    <w:rsid w:val="00D406AC"/>
    <w:pPr>
      <w:spacing w:after="120"/>
      <w:ind w:left="1132"/>
      <w:contextualSpacing/>
    </w:pPr>
  </w:style>
  <w:style w:type="paragraph" w:styleId="ListeDevam5">
    <w:name w:val="List Continue 5"/>
    <w:basedOn w:val="Normal"/>
    <w:uiPriority w:val="98"/>
    <w:semiHidden/>
    <w:rsid w:val="00D406AC"/>
    <w:pPr>
      <w:spacing w:after="120"/>
      <w:ind w:left="1415"/>
      <w:contextualSpacing/>
    </w:pPr>
  </w:style>
  <w:style w:type="paragraph" w:styleId="ListeNumaras">
    <w:name w:val="List Number"/>
    <w:basedOn w:val="Normal"/>
    <w:uiPriority w:val="98"/>
    <w:semiHidden/>
    <w:rsid w:val="00D406AC"/>
    <w:pPr>
      <w:numPr>
        <w:numId w:val="14"/>
      </w:numPr>
      <w:contextualSpacing/>
    </w:pPr>
  </w:style>
  <w:style w:type="paragraph" w:styleId="ListeNumaras2">
    <w:name w:val="List Number 2"/>
    <w:basedOn w:val="Normal"/>
    <w:uiPriority w:val="98"/>
    <w:semiHidden/>
    <w:rsid w:val="00D406AC"/>
    <w:pPr>
      <w:numPr>
        <w:numId w:val="15"/>
      </w:numPr>
      <w:contextualSpacing/>
    </w:pPr>
  </w:style>
  <w:style w:type="paragraph" w:styleId="ListeNumaras3">
    <w:name w:val="List Number 3"/>
    <w:basedOn w:val="Normal"/>
    <w:uiPriority w:val="98"/>
    <w:semiHidden/>
    <w:rsid w:val="00D406AC"/>
    <w:pPr>
      <w:numPr>
        <w:numId w:val="16"/>
      </w:numPr>
      <w:contextualSpacing/>
    </w:pPr>
  </w:style>
  <w:style w:type="paragraph" w:styleId="ListeNumaras4">
    <w:name w:val="List Number 4"/>
    <w:basedOn w:val="Normal"/>
    <w:uiPriority w:val="98"/>
    <w:semiHidden/>
    <w:rsid w:val="00D406AC"/>
    <w:pPr>
      <w:numPr>
        <w:numId w:val="17"/>
      </w:numPr>
      <w:contextualSpacing/>
    </w:pPr>
  </w:style>
  <w:style w:type="paragraph" w:styleId="ListeNumaras5">
    <w:name w:val="List Number 5"/>
    <w:basedOn w:val="Normal"/>
    <w:uiPriority w:val="98"/>
    <w:semiHidden/>
    <w:rsid w:val="00D406AC"/>
    <w:pPr>
      <w:numPr>
        <w:numId w:val="18"/>
      </w:numPr>
      <w:contextualSpacing/>
    </w:pPr>
  </w:style>
  <w:style w:type="paragraph" w:styleId="MakroMetni">
    <w:name w:val="macro"/>
    <w:link w:val="MakroMetniChar"/>
    <w:uiPriority w:val="98"/>
    <w:semiHidden/>
    <w:rsid w:val="00D406AC"/>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MetniChar">
    <w:name w:val="Makro Metni Char"/>
    <w:basedOn w:val="VarsaylanParagrafYazTipi"/>
    <w:link w:val="MakroMetni"/>
    <w:uiPriority w:val="98"/>
    <w:semiHidden/>
    <w:rsid w:val="00D406AC"/>
    <w:rPr>
      <w:rFonts w:ascii="Consolas" w:eastAsiaTheme="minorEastAsia" w:hAnsi="Consolas" w:cs="Consolas"/>
      <w:sz w:val="20"/>
      <w:szCs w:val="20"/>
    </w:rPr>
  </w:style>
  <w:style w:type="table" w:styleId="OrtaKlavuz1">
    <w:name w:val="Medium Grid 1"/>
    <w:basedOn w:val="NormalTablo"/>
    <w:uiPriority w:val="67"/>
    <w:semiHidden/>
    <w:rsid w:val="00D406AC"/>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OrtaKlavuz1-Vurgu1">
    <w:name w:val="Medium Grid 1 Accent 1"/>
    <w:basedOn w:val="NormalTablo"/>
    <w:uiPriority w:val="67"/>
    <w:semiHidden/>
    <w:rsid w:val="00D406AC"/>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OrtaKlavuz1-Vurgu2">
    <w:name w:val="Medium Grid 1 Accent 2"/>
    <w:basedOn w:val="NormalTablo"/>
    <w:uiPriority w:val="67"/>
    <w:semiHidden/>
    <w:rsid w:val="00D406AC"/>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OrtaKlavuz1-Vurgu3">
    <w:name w:val="Medium Grid 1 Accent 3"/>
    <w:basedOn w:val="NormalTablo"/>
    <w:uiPriority w:val="67"/>
    <w:semiHidden/>
    <w:rsid w:val="00D406AC"/>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OrtaKlavuz1-Vurgu4">
    <w:name w:val="Medium Grid 1 Accent 4"/>
    <w:basedOn w:val="NormalTablo"/>
    <w:uiPriority w:val="67"/>
    <w:semiHidden/>
    <w:rsid w:val="00D406AC"/>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OrtaKlavuz1-Vurgu5">
    <w:name w:val="Medium Grid 1 Accent 5"/>
    <w:basedOn w:val="NormalTablo"/>
    <w:uiPriority w:val="67"/>
    <w:semiHidden/>
    <w:rsid w:val="00D406AC"/>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OrtaKlavuz1-Vurgu6">
    <w:name w:val="Medium Grid 1 Accent 6"/>
    <w:basedOn w:val="NormalTablo"/>
    <w:uiPriority w:val="67"/>
    <w:semiHidden/>
    <w:rsid w:val="00D406AC"/>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OrtaKlavuz2">
    <w:name w:val="Medium Grid 2"/>
    <w:basedOn w:val="NormalTablo"/>
    <w:uiPriority w:val="68"/>
    <w:semiHidden/>
    <w:rsid w:val="00D406AC"/>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OrtaKlavuz2-Vurgu1">
    <w:name w:val="Medium Grid 2 Accent 1"/>
    <w:basedOn w:val="NormalTablo"/>
    <w:uiPriority w:val="68"/>
    <w:semiHidden/>
    <w:rsid w:val="00D406AC"/>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OrtaKlavuz2-Vurgu2">
    <w:name w:val="Medium Grid 2 Accent 2"/>
    <w:basedOn w:val="NormalTablo"/>
    <w:uiPriority w:val="68"/>
    <w:semiHidden/>
    <w:rsid w:val="00D406AC"/>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OrtaKlavuz2-Vurgu3">
    <w:name w:val="Medium Grid 2 Accent 3"/>
    <w:basedOn w:val="NormalTablo"/>
    <w:uiPriority w:val="68"/>
    <w:semiHidden/>
    <w:rsid w:val="00D406AC"/>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OrtaKlavuz2-Vurgu4">
    <w:name w:val="Medium Grid 2 Accent 4"/>
    <w:basedOn w:val="NormalTablo"/>
    <w:uiPriority w:val="68"/>
    <w:semiHidden/>
    <w:rsid w:val="00D406AC"/>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OrtaKlavuz2-Vurgu5">
    <w:name w:val="Medium Grid 2 Accent 5"/>
    <w:basedOn w:val="NormalTablo"/>
    <w:uiPriority w:val="68"/>
    <w:semiHidden/>
    <w:rsid w:val="00D406AC"/>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OrtaKlavuz2-Vurgu6">
    <w:name w:val="Medium Grid 2 Accent 6"/>
    <w:basedOn w:val="NormalTablo"/>
    <w:uiPriority w:val="68"/>
    <w:semiHidden/>
    <w:rsid w:val="00D406AC"/>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OrtaKlavuz3">
    <w:name w:val="Medium Grid 3"/>
    <w:basedOn w:val="NormalTablo"/>
    <w:uiPriority w:val="69"/>
    <w:semiHidden/>
    <w:rsid w:val="00D406AC"/>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OrtaKlavuz3-Vurgu1">
    <w:name w:val="Medium Grid 3 Accent 1"/>
    <w:basedOn w:val="NormalTablo"/>
    <w:uiPriority w:val="69"/>
    <w:semiHidden/>
    <w:rsid w:val="00D406AC"/>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OrtaKlavuz3-Vurgu2">
    <w:name w:val="Medium Grid 3 Accent 2"/>
    <w:basedOn w:val="NormalTablo"/>
    <w:uiPriority w:val="69"/>
    <w:semiHidden/>
    <w:rsid w:val="00D406AC"/>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OrtaKlavuz3-Vurgu3">
    <w:name w:val="Medium Grid 3 Accent 3"/>
    <w:basedOn w:val="NormalTablo"/>
    <w:uiPriority w:val="69"/>
    <w:semiHidden/>
    <w:rsid w:val="00D406AC"/>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OrtaKlavuz3-Vurgu4">
    <w:name w:val="Medium Grid 3 Accent 4"/>
    <w:basedOn w:val="NormalTablo"/>
    <w:uiPriority w:val="69"/>
    <w:semiHidden/>
    <w:rsid w:val="00D406AC"/>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OrtaKlavuz3-Vurgu5">
    <w:name w:val="Medium Grid 3 Accent 5"/>
    <w:basedOn w:val="NormalTablo"/>
    <w:uiPriority w:val="69"/>
    <w:semiHidden/>
    <w:rsid w:val="00D406AC"/>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OrtaKlavuz3-Vurgu6">
    <w:name w:val="Medium Grid 3 Accent 6"/>
    <w:basedOn w:val="NormalTablo"/>
    <w:uiPriority w:val="69"/>
    <w:semiHidden/>
    <w:rsid w:val="00D406AC"/>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OrtaListe1">
    <w:name w:val="Medium List 1"/>
    <w:basedOn w:val="NormalTablo"/>
    <w:uiPriority w:val="65"/>
    <w:semiHidden/>
    <w:rsid w:val="00D406AC"/>
    <w:rPr>
      <w:color w:val="000000" w:themeColor="text1"/>
      <w:sz w:val="24"/>
      <w:szCs w:val="24"/>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OrtaListe1-Vurgu1">
    <w:name w:val="Medium List 1 Accent 1"/>
    <w:basedOn w:val="NormalTablo"/>
    <w:uiPriority w:val="65"/>
    <w:semiHidden/>
    <w:rsid w:val="00D406AC"/>
    <w:rPr>
      <w:color w:val="000000" w:themeColor="text1"/>
      <w:sz w:val="24"/>
      <w:szCs w:val="24"/>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OrtaListe1-Vurgu2">
    <w:name w:val="Medium List 1 Accent 2"/>
    <w:basedOn w:val="NormalTablo"/>
    <w:uiPriority w:val="65"/>
    <w:semiHidden/>
    <w:rsid w:val="00D406AC"/>
    <w:rPr>
      <w:color w:val="000000" w:themeColor="text1"/>
      <w:sz w:val="24"/>
      <w:szCs w:val="24"/>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OrtaListe1-Vurgu3">
    <w:name w:val="Medium List 1 Accent 3"/>
    <w:basedOn w:val="NormalTablo"/>
    <w:uiPriority w:val="65"/>
    <w:semiHidden/>
    <w:rsid w:val="00D406AC"/>
    <w:rPr>
      <w:color w:val="000000" w:themeColor="text1"/>
      <w:sz w:val="24"/>
      <w:szCs w:val="24"/>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OrtaListe1-Vurgu4">
    <w:name w:val="Medium List 1 Accent 4"/>
    <w:basedOn w:val="NormalTablo"/>
    <w:uiPriority w:val="65"/>
    <w:semiHidden/>
    <w:rsid w:val="00D406AC"/>
    <w:rPr>
      <w:color w:val="000000" w:themeColor="text1"/>
      <w:sz w:val="24"/>
      <w:szCs w:val="24"/>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OrtaListe1-Vurgu5">
    <w:name w:val="Medium List 1 Accent 5"/>
    <w:basedOn w:val="NormalTablo"/>
    <w:uiPriority w:val="65"/>
    <w:semiHidden/>
    <w:rsid w:val="00D406AC"/>
    <w:rPr>
      <w:color w:val="000000" w:themeColor="text1"/>
      <w:sz w:val="24"/>
      <w:szCs w:val="24"/>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OrtaListe1-Vurgu6">
    <w:name w:val="Medium List 1 Accent 6"/>
    <w:basedOn w:val="NormalTablo"/>
    <w:uiPriority w:val="65"/>
    <w:semiHidden/>
    <w:rsid w:val="00D406AC"/>
    <w:rPr>
      <w:color w:val="000000" w:themeColor="text1"/>
      <w:sz w:val="24"/>
      <w:szCs w:val="24"/>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OrtaListe2">
    <w:name w:val="Medium List 2"/>
    <w:basedOn w:val="NormalTablo"/>
    <w:uiPriority w:val="66"/>
    <w:semiHidden/>
    <w:rsid w:val="00D406AC"/>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OrtaList2-Vurgu1">
    <w:name w:val="Medium List 2 Accent 1"/>
    <w:basedOn w:val="NormalTablo"/>
    <w:uiPriority w:val="66"/>
    <w:semiHidden/>
    <w:rsid w:val="00D406AC"/>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OrtaListe2-Vurgu2">
    <w:name w:val="Medium List 2 Accent 2"/>
    <w:basedOn w:val="NormalTablo"/>
    <w:uiPriority w:val="66"/>
    <w:semiHidden/>
    <w:rsid w:val="00D406AC"/>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OrtaListe2-Vurgu3">
    <w:name w:val="Medium List 2 Accent 3"/>
    <w:basedOn w:val="NormalTablo"/>
    <w:uiPriority w:val="66"/>
    <w:semiHidden/>
    <w:rsid w:val="00D406AC"/>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OrtaListe2-Vurgu4">
    <w:name w:val="Medium List 2 Accent 4"/>
    <w:basedOn w:val="NormalTablo"/>
    <w:uiPriority w:val="66"/>
    <w:semiHidden/>
    <w:rsid w:val="00D406AC"/>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OrtaListe2-Vurgu5">
    <w:name w:val="Medium List 2 Accent 5"/>
    <w:basedOn w:val="NormalTablo"/>
    <w:uiPriority w:val="66"/>
    <w:semiHidden/>
    <w:rsid w:val="00D406AC"/>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OrtaListe2-Vurgu6">
    <w:name w:val="Medium List 2 Accent 6"/>
    <w:basedOn w:val="NormalTablo"/>
    <w:uiPriority w:val="66"/>
    <w:semiHidden/>
    <w:rsid w:val="00D406AC"/>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OrtaGlgeleme1">
    <w:name w:val="Medium Shading 1"/>
    <w:basedOn w:val="NormalTablo"/>
    <w:uiPriority w:val="63"/>
    <w:semiHidden/>
    <w:rsid w:val="00D406AC"/>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OrtaGlgeleme1-Vurgu1">
    <w:name w:val="Medium Shading 1 Accent 1"/>
    <w:basedOn w:val="NormalTablo"/>
    <w:uiPriority w:val="63"/>
    <w:semiHidden/>
    <w:rsid w:val="00D406AC"/>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OrtaGlgeleme1-Vurgu2">
    <w:name w:val="Medium Shading 1 Accent 2"/>
    <w:basedOn w:val="NormalTablo"/>
    <w:uiPriority w:val="63"/>
    <w:semiHidden/>
    <w:rsid w:val="00D406AC"/>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OrtaGlgeleme1-Vurgu3">
    <w:name w:val="Medium Shading 1 Accent 3"/>
    <w:basedOn w:val="NormalTablo"/>
    <w:uiPriority w:val="63"/>
    <w:semiHidden/>
    <w:rsid w:val="00D406AC"/>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OrtaGlgeleme1-Vurgu4">
    <w:name w:val="Medium Shading 1 Accent 4"/>
    <w:basedOn w:val="NormalTablo"/>
    <w:uiPriority w:val="63"/>
    <w:semiHidden/>
    <w:rsid w:val="00D406AC"/>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OrtaGlgeleme1-Vurgu5">
    <w:name w:val="Medium Shading 1 Accent 5"/>
    <w:basedOn w:val="NormalTablo"/>
    <w:uiPriority w:val="63"/>
    <w:semiHidden/>
    <w:rsid w:val="00D406AC"/>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OrtaGlgeleme1-Vurgu6">
    <w:name w:val="Medium Shading 1 Accent 6"/>
    <w:basedOn w:val="NormalTablo"/>
    <w:uiPriority w:val="63"/>
    <w:semiHidden/>
    <w:rsid w:val="00D406AC"/>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OrtaGlgeleme2">
    <w:name w:val="Medium Shading 2"/>
    <w:basedOn w:val="NormalTablo"/>
    <w:uiPriority w:val="64"/>
    <w:semiHidden/>
    <w:rsid w:val="00D406AC"/>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1">
    <w:name w:val="Medium Shading 2 Accent 1"/>
    <w:basedOn w:val="NormalTablo"/>
    <w:uiPriority w:val="64"/>
    <w:semiHidden/>
    <w:rsid w:val="00D406AC"/>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2">
    <w:name w:val="Medium Shading 2 Accent 2"/>
    <w:basedOn w:val="NormalTablo"/>
    <w:uiPriority w:val="64"/>
    <w:semiHidden/>
    <w:rsid w:val="00D406AC"/>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3">
    <w:name w:val="Medium Shading 2 Accent 3"/>
    <w:basedOn w:val="NormalTablo"/>
    <w:uiPriority w:val="64"/>
    <w:semiHidden/>
    <w:rsid w:val="00D406AC"/>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4">
    <w:name w:val="Medium Shading 2 Accent 4"/>
    <w:basedOn w:val="NormalTablo"/>
    <w:uiPriority w:val="64"/>
    <w:semiHidden/>
    <w:rsid w:val="00D406AC"/>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5">
    <w:name w:val="Medium Shading 2 Accent 5"/>
    <w:basedOn w:val="NormalTablo"/>
    <w:uiPriority w:val="64"/>
    <w:semiHidden/>
    <w:rsid w:val="00D406AC"/>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6">
    <w:name w:val="Medium Shading 2 Accent 6"/>
    <w:basedOn w:val="NormalTablo"/>
    <w:uiPriority w:val="64"/>
    <w:semiHidden/>
    <w:rsid w:val="00D406AC"/>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letistBilgisi">
    <w:name w:val="Message Header"/>
    <w:basedOn w:val="Normal"/>
    <w:link w:val="letistBilgisiChar"/>
    <w:uiPriority w:val="98"/>
    <w:semiHidden/>
    <w:rsid w:val="00D406AC"/>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letistBilgisiChar">
    <w:name w:val="İleti Üst Bilgisi Char"/>
    <w:basedOn w:val="VarsaylanParagrafYazTipi"/>
    <w:link w:val="letistBilgisi"/>
    <w:uiPriority w:val="98"/>
    <w:semiHidden/>
    <w:rsid w:val="00D406AC"/>
    <w:rPr>
      <w:rFonts w:asciiTheme="majorHAnsi" w:eastAsiaTheme="majorEastAsia" w:hAnsiTheme="majorHAnsi" w:cstheme="majorBidi"/>
      <w:sz w:val="24"/>
      <w:szCs w:val="24"/>
      <w:shd w:val="pct20" w:color="auto" w:fill="auto"/>
      <w:lang w:val="fr-FR"/>
    </w:rPr>
  </w:style>
  <w:style w:type="paragraph" w:styleId="NormalWeb">
    <w:name w:val="Normal (Web)"/>
    <w:basedOn w:val="Normal"/>
    <w:uiPriority w:val="98"/>
    <w:semiHidden/>
    <w:rsid w:val="00D406AC"/>
    <w:rPr>
      <w:rFonts w:ascii="Times New Roman" w:hAnsi="Times New Roman" w:cs="Times New Roman"/>
    </w:rPr>
  </w:style>
  <w:style w:type="paragraph" w:styleId="NormalGirinti">
    <w:name w:val="Normal Indent"/>
    <w:basedOn w:val="Normal"/>
    <w:uiPriority w:val="98"/>
    <w:semiHidden/>
    <w:rsid w:val="00D406AC"/>
    <w:pPr>
      <w:ind w:left="720"/>
    </w:pPr>
  </w:style>
  <w:style w:type="paragraph" w:styleId="NotBal">
    <w:name w:val="Note Heading"/>
    <w:basedOn w:val="Normal"/>
    <w:next w:val="Normal"/>
    <w:link w:val="NotBalChar"/>
    <w:uiPriority w:val="98"/>
    <w:semiHidden/>
    <w:rsid w:val="00D406AC"/>
  </w:style>
  <w:style w:type="character" w:customStyle="1" w:styleId="NotBalChar">
    <w:name w:val="Not Başlığı Char"/>
    <w:basedOn w:val="VarsaylanParagrafYazTipi"/>
    <w:link w:val="NotBal"/>
    <w:uiPriority w:val="98"/>
    <w:semiHidden/>
    <w:rsid w:val="00D406AC"/>
    <w:rPr>
      <w:sz w:val="24"/>
      <w:szCs w:val="24"/>
      <w:lang w:val="fr-FR"/>
    </w:rPr>
  </w:style>
  <w:style w:type="character" w:styleId="YerTutucuMetni">
    <w:name w:val="Placeholder Text"/>
    <w:basedOn w:val="VarsaylanParagrafYazTipi"/>
    <w:uiPriority w:val="98"/>
    <w:semiHidden/>
    <w:rsid w:val="00D406AC"/>
    <w:rPr>
      <w:color w:val="auto"/>
      <w:bdr w:val="none" w:sz="0" w:space="0" w:color="auto"/>
      <w:shd w:val="clear" w:color="auto" w:fill="DFDFDF" w:themeFill="background2" w:themeFillShade="E6"/>
    </w:rPr>
  </w:style>
  <w:style w:type="paragraph" w:styleId="DzMetin">
    <w:name w:val="Plain Text"/>
    <w:basedOn w:val="Normal"/>
    <w:link w:val="DzMetinChar"/>
    <w:uiPriority w:val="98"/>
    <w:semiHidden/>
    <w:rsid w:val="00D406AC"/>
    <w:rPr>
      <w:rFonts w:ascii="Consolas" w:hAnsi="Consolas" w:cs="Consolas"/>
      <w:sz w:val="21"/>
      <w:szCs w:val="21"/>
    </w:rPr>
  </w:style>
  <w:style w:type="character" w:customStyle="1" w:styleId="DzMetinChar">
    <w:name w:val="Düz Metin Char"/>
    <w:basedOn w:val="VarsaylanParagrafYazTipi"/>
    <w:link w:val="DzMetin"/>
    <w:uiPriority w:val="98"/>
    <w:semiHidden/>
    <w:rsid w:val="00D406AC"/>
    <w:rPr>
      <w:rFonts w:ascii="Consolas" w:hAnsi="Consolas" w:cs="Consolas"/>
      <w:sz w:val="21"/>
      <w:szCs w:val="21"/>
      <w:lang w:val="fr-FR"/>
    </w:rPr>
  </w:style>
  <w:style w:type="paragraph" w:styleId="Selamlama">
    <w:name w:val="Salutation"/>
    <w:basedOn w:val="Normal"/>
    <w:next w:val="Normal"/>
    <w:link w:val="SelamlamaChar"/>
    <w:uiPriority w:val="98"/>
    <w:semiHidden/>
    <w:rsid w:val="00D406AC"/>
  </w:style>
  <w:style w:type="character" w:customStyle="1" w:styleId="SelamlamaChar">
    <w:name w:val="Selamlama Char"/>
    <w:basedOn w:val="VarsaylanParagrafYazTipi"/>
    <w:link w:val="Selamlama"/>
    <w:uiPriority w:val="98"/>
    <w:semiHidden/>
    <w:rsid w:val="00D406AC"/>
    <w:rPr>
      <w:sz w:val="24"/>
      <w:szCs w:val="24"/>
      <w:lang w:val="fr-FR"/>
    </w:rPr>
  </w:style>
  <w:style w:type="paragraph" w:styleId="mza">
    <w:name w:val="Signature"/>
    <w:basedOn w:val="Normal"/>
    <w:link w:val="mzaChar"/>
    <w:uiPriority w:val="98"/>
    <w:semiHidden/>
    <w:rsid w:val="00D406AC"/>
    <w:pPr>
      <w:ind w:left="4252"/>
    </w:pPr>
  </w:style>
  <w:style w:type="character" w:customStyle="1" w:styleId="mzaChar">
    <w:name w:val="İmza Char"/>
    <w:basedOn w:val="VarsaylanParagrafYazTipi"/>
    <w:link w:val="mza"/>
    <w:uiPriority w:val="98"/>
    <w:semiHidden/>
    <w:rsid w:val="00D406AC"/>
    <w:rPr>
      <w:sz w:val="24"/>
      <w:szCs w:val="24"/>
      <w:lang w:val="fr-FR"/>
    </w:rPr>
  </w:style>
  <w:style w:type="table" w:styleId="Tablo3Befektler1">
    <w:name w:val="Table 3D effects 1"/>
    <w:basedOn w:val="NormalTablo"/>
    <w:uiPriority w:val="99"/>
    <w:semiHidden/>
    <w:unhideWhenUsed/>
    <w:rsid w:val="00D406AC"/>
    <w:pPr>
      <w:jc w:val="both"/>
    </w:pPr>
    <w:rPr>
      <w:sz w:val="24"/>
      <w:szCs w:val="24"/>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o3Befektler2">
    <w:name w:val="Table 3D effects 2"/>
    <w:basedOn w:val="NormalTablo"/>
    <w:uiPriority w:val="99"/>
    <w:semiHidden/>
    <w:unhideWhenUsed/>
    <w:rsid w:val="00D406AC"/>
    <w:pPr>
      <w:jc w:val="both"/>
    </w:pPr>
    <w:rPr>
      <w:sz w:val="24"/>
      <w:szCs w:val="24"/>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3Befektler3">
    <w:name w:val="Table 3D effects 3"/>
    <w:basedOn w:val="NormalTablo"/>
    <w:uiPriority w:val="99"/>
    <w:semiHidden/>
    <w:unhideWhenUsed/>
    <w:rsid w:val="00D406AC"/>
    <w:pPr>
      <w:jc w:val="both"/>
    </w:pPr>
    <w:rPr>
      <w:sz w:val="24"/>
      <w:szCs w:val="24"/>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Klasik1">
    <w:name w:val="Table Classic 1"/>
    <w:basedOn w:val="NormalTablo"/>
    <w:uiPriority w:val="99"/>
    <w:semiHidden/>
    <w:unhideWhenUsed/>
    <w:rsid w:val="00D406AC"/>
    <w:pPr>
      <w:jc w:val="both"/>
    </w:pPr>
    <w:rPr>
      <w:sz w:val="24"/>
      <w:szCs w:val="24"/>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Klasik2">
    <w:name w:val="Table Classic 2"/>
    <w:basedOn w:val="NormalTablo"/>
    <w:uiPriority w:val="99"/>
    <w:semiHidden/>
    <w:unhideWhenUsed/>
    <w:rsid w:val="00D406AC"/>
    <w:pPr>
      <w:jc w:val="both"/>
    </w:pPr>
    <w:rPr>
      <w:sz w:val="24"/>
      <w:szCs w:val="24"/>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oKlasik3">
    <w:name w:val="Table Classic 3"/>
    <w:basedOn w:val="NormalTablo"/>
    <w:uiPriority w:val="99"/>
    <w:semiHidden/>
    <w:unhideWhenUsed/>
    <w:rsid w:val="00D406AC"/>
    <w:pPr>
      <w:jc w:val="both"/>
    </w:pPr>
    <w:rPr>
      <w:color w:val="000080"/>
      <w:sz w:val="24"/>
      <w:szCs w:val="24"/>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oKlasik4">
    <w:name w:val="Table Classic 4"/>
    <w:basedOn w:val="NormalTablo"/>
    <w:uiPriority w:val="99"/>
    <w:semiHidden/>
    <w:unhideWhenUsed/>
    <w:rsid w:val="00D406AC"/>
    <w:pPr>
      <w:jc w:val="both"/>
    </w:pPr>
    <w:rPr>
      <w:sz w:val="24"/>
      <w:szCs w:val="24"/>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oRenkli1">
    <w:name w:val="Table Colorful 1"/>
    <w:basedOn w:val="NormalTablo"/>
    <w:uiPriority w:val="99"/>
    <w:semiHidden/>
    <w:unhideWhenUsed/>
    <w:rsid w:val="00D406AC"/>
    <w:pPr>
      <w:jc w:val="both"/>
    </w:pPr>
    <w:rPr>
      <w:color w:val="FFFFFF"/>
      <w:sz w:val="24"/>
      <w:szCs w:val="24"/>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oRenkli2">
    <w:name w:val="Table Colorful 2"/>
    <w:basedOn w:val="NormalTablo"/>
    <w:uiPriority w:val="99"/>
    <w:semiHidden/>
    <w:unhideWhenUsed/>
    <w:rsid w:val="00D406AC"/>
    <w:pPr>
      <w:jc w:val="both"/>
    </w:pPr>
    <w:rPr>
      <w:sz w:val="24"/>
      <w:szCs w:val="24"/>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oRenkli3">
    <w:name w:val="Table Colorful 3"/>
    <w:basedOn w:val="NormalTablo"/>
    <w:uiPriority w:val="99"/>
    <w:semiHidden/>
    <w:unhideWhenUsed/>
    <w:rsid w:val="00D406AC"/>
    <w:pPr>
      <w:jc w:val="both"/>
    </w:pPr>
    <w:rPr>
      <w:sz w:val="24"/>
      <w:szCs w:val="24"/>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oStunlar1">
    <w:name w:val="Table Columns 1"/>
    <w:basedOn w:val="NormalTablo"/>
    <w:uiPriority w:val="99"/>
    <w:semiHidden/>
    <w:unhideWhenUsed/>
    <w:rsid w:val="00D406AC"/>
    <w:pPr>
      <w:jc w:val="both"/>
    </w:pPr>
    <w:rPr>
      <w:b/>
      <w:bCs/>
      <w:sz w:val="24"/>
      <w:szCs w:val="24"/>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Stunlar2">
    <w:name w:val="Table Columns 2"/>
    <w:basedOn w:val="NormalTablo"/>
    <w:uiPriority w:val="99"/>
    <w:semiHidden/>
    <w:unhideWhenUsed/>
    <w:rsid w:val="00D406AC"/>
    <w:pPr>
      <w:jc w:val="both"/>
    </w:pPr>
    <w:rPr>
      <w:b/>
      <w:bCs/>
      <w:sz w:val="24"/>
      <w:szCs w:val="24"/>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Stunlar3">
    <w:name w:val="Table Columns 3"/>
    <w:basedOn w:val="NormalTablo"/>
    <w:uiPriority w:val="99"/>
    <w:semiHidden/>
    <w:unhideWhenUsed/>
    <w:rsid w:val="00D406AC"/>
    <w:pPr>
      <w:jc w:val="both"/>
    </w:pPr>
    <w:rPr>
      <w:b/>
      <w:bCs/>
      <w:sz w:val="24"/>
      <w:szCs w:val="24"/>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oStunlar4">
    <w:name w:val="Table Columns 4"/>
    <w:basedOn w:val="NormalTablo"/>
    <w:uiPriority w:val="99"/>
    <w:semiHidden/>
    <w:unhideWhenUsed/>
    <w:rsid w:val="00D406AC"/>
    <w:pPr>
      <w:jc w:val="both"/>
    </w:pPr>
    <w:rPr>
      <w:sz w:val="24"/>
      <w:szCs w:val="24"/>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oStunlar5">
    <w:name w:val="Table Columns 5"/>
    <w:basedOn w:val="NormalTablo"/>
    <w:uiPriority w:val="99"/>
    <w:semiHidden/>
    <w:unhideWhenUsed/>
    <w:rsid w:val="00D406AC"/>
    <w:pPr>
      <w:jc w:val="both"/>
    </w:pPr>
    <w:rPr>
      <w:sz w:val="24"/>
      <w:szCs w:val="24"/>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oada">
    <w:name w:val="Table Contemporary"/>
    <w:basedOn w:val="NormalTablo"/>
    <w:uiPriority w:val="99"/>
    <w:semiHidden/>
    <w:unhideWhenUsed/>
    <w:rsid w:val="00D406AC"/>
    <w:pPr>
      <w:jc w:val="both"/>
    </w:pPr>
    <w:rPr>
      <w:sz w:val="24"/>
      <w:szCs w:val="24"/>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oZarif">
    <w:name w:val="Table Elegant"/>
    <w:basedOn w:val="NormalTablo"/>
    <w:uiPriority w:val="99"/>
    <w:semiHidden/>
    <w:unhideWhenUsed/>
    <w:rsid w:val="00D406AC"/>
    <w:pPr>
      <w:jc w:val="both"/>
    </w:pPr>
    <w:rPr>
      <w:sz w:val="24"/>
      <w:szCs w:val="24"/>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oKlavuz1">
    <w:name w:val="Table Grid 1"/>
    <w:basedOn w:val="NormalTablo"/>
    <w:uiPriority w:val="99"/>
    <w:semiHidden/>
    <w:unhideWhenUsed/>
    <w:rsid w:val="00D406AC"/>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oKlavuz2">
    <w:name w:val="Table Grid 2"/>
    <w:basedOn w:val="NormalTablo"/>
    <w:uiPriority w:val="99"/>
    <w:semiHidden/>
    <w:unhideWhenUsed/>
    <w:rsid w:val="00D406AC"/>
    <w:pPr>
      <w:jc w:val="both"/>
    </w:pPr>
    <w:rPr>
      <w:sz w:val="24"/>
      <w:szCs w:val="24"/>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oKlavuz3">
    <w:name w:val="Table Grid 3"/>
    <w:basedOn w:val="NormalTablo"/>
    <w:uiPriority w:val="99"/>
    <w:semiHidden/>
    <w:unhideWhenUsed/>
    <w:rsid w:val="00D406AC"/>
    <w:pPr>
      <w:jc w:val="both"/>
    </w:pPr>
    <w:rPr>
      <w:sz w:val="24"/>
      <w:szCs w:val="24"/>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oKlavuz4">
    <w:name w:val="Table Grid 4"/>
    <w:basedOn w:val="NormalTablo"/>
    <w:uiPriority w:val="99"/>
    <w:semiHidden/>
    <w:unhideWhenUsed/>
    <w:rsid w:val="00D406AC"/>
    <w:pPr>
      <w:jc w:val="both"/>
    </w:pPr>
    <w:rPr>
      <w:sz w:val="24"/>
      <w:szCs w:val="24"/>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oKlavuz5">
    <w:name w:val="Table Grid 5"/>
    <w:basedOn w:val="NormalTablo"/>
    <w:uiPriority w:val="99"/>
    <w:semiHidden/>
    <w:unhideWhenUsed/>
    <w:rsid w:val="00D406AC"/>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6">
    <w:name w:val="Table Grid 6"/>
    <w:basedOn w:val="NormalTablo"/>
    <w:uiPriority w:val="99"/>
    <w:semiHidden/>
    <w:unhideWhenUsed/>
    <w:rsid w:val="00D406AC"/>
    <w:pPr>
      <w:jc w:val="both"/>
    </w:pPr>
    <w:rPr>
      <w:sz w:val="24"/>
      <w:szCs w:val="24"/>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7">
    <w:name w:val="Table Grid 7"/>
    <w:basedOn w:val="NormalTablo"/>
    <w:uiPriority w:val="99"/>
    <w:semiHidden/>
    <w:unhideWhenUsed/>
    <w:rsid w:val="00D406AC"/>
    <w:pPr>
      <w:jc w:val="both"/>
    </w:pPr>
    <w:rPr>
      <w:b/>
      <w:bCs/>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8">
    <w:name w:val="Table Grid 8"/>
    <w:basedOn w:val="NormalTablo"/>
    <w:uiPriority w:val="99"/>
    <w:semiHidden/>
    <w:unhideWhenUsed/>
    <w:rsid w:val="00D406AC"/>
    <w:pPr>
      <w:jc w:val="both"/>
    </w:pPr>
    <w:rPr>
      <w:sz w:val="24"/>
      <w:szCs w:val="24"/>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oListe1">
    <w:name w:val="Table List 1"/>
    <w:basedOn w:val="NormalTablo"/>
    <w:uiPriority w:val="99"/>
    <w:semiHidden/>
    <w:unhideWhenUsed/>
    <w:rsid w:val="00D406AC"/>
    <w:pPr>
      <w:jc w:val="both"/>
    </w:pPr>
    <w:rPr>
      <w:sz w:val="24"/>
      <w:szCs w:val="24"/>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Liste2">
    <w:name w:val="Table List 2"/>
    <w:basedOn w:val="NormalTablo"/>
    <w:uiPriority w:val="99"/>
    <w:semiHidden/>
    <w:unhideWhenUsed/>
    <w:rsid w:val="00D406AC"/>
    <w:pPr>
      <w:jc w:val="both"/>
    </w:pPr>
    <w:rPr>
      <w:sz w:val="24"/>
      <w:szCs w:val="24"/>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Liste3">
    <w:name w:val="Table List 3"/>
    <w:basedOn w:val="NormalTablo"/>
    <w:uiPriority w:val="99"/>
    <w:semiHidden/>
    <w:unhideWhenUsed/>
    <w:rsid w:val="00D406AC"/>
    <w:pPr>
      <w:jc w:val="both"/>
    </w:pPr>
    <w:rPr>
      <w:sz w:val="24"/>
      <w:szCs w:val="24"/>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oListe4">
    <w:name w:val="Table List 4"/>
    <w:basedOn w:val="NormalTablo"/>
    <w:uiPriority w:val="99"/>
    <w:semiHidden/>
    <w:unhideWhenUsed/>
    <w:rsid w:val="00D406AC"/>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oListe5">
    <w:name w:val="Table List 5"/>
    <w:basedOn w:val="NormalTablo"/>
    <w:uiPriority w:val="99"/>
    <w:semiHidden/>
    <w:unhideWhenUsed/>
    <w:rsid w:val="00D406AC"/>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oListe6">
    <w:name w:val="Table List 6"/>
    <w:basedOn w:val="NormalTablo"/>
    <w:uiPriority w:val="99"/>
    <w:semiHidden/>
    <w:unhideWhenUsed/>
    <w:rsid w:val="00D406AC"/>
    <w:pPr>
      <w:jc w:val="both"/>
    </w:pPr>
    <w:rPr>
      <w:sz w:val="24"/>
      <w:szCs w:val="24"/>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oListe7">
    <w:name w:val="Table List 7"/>
    <w:basedOn w:val="NormalTablo"/>
    <w:uiPriority w:val="99"/>
    <w:semiHidden/>
    <w:unhideWhenUsed/>
    <w:rsid w:val="00D406AC"/>
    <w:pPr>
      <w:jc w:val="both"/>
    </w:pPr>
    <w:rPr>
      <w:sz w:val="24"/>
      <w:szCs w:val="24"/>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oListe8">
    <w:name w:val="Table List 8"/>
    <w:basedOn w:val="NormalTablo"/>
    <w:uiPriority w:val="99"/>
    <w:semiHidden/>
    <w:unhideWhenUsed/>
    <w:rsid w:val="00D406AC"/>
    <w:pPr>
      <w:jc w:val="both"/>
    </w:pPr>
    <w:rPr>
      <w:sz w:val="24"/>
      <w:szCs w:val="24"/>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ynaka0">
    <w:name w:val="table of authorities"/>
    <w:basedOn w:val="Normal"/>
    <w:next w:val="Normal"/>
    <w:uiPriority w:val="98"/>
    <w:semiHidden/>
    <w:rsid w:val="00D406AC"/>
    <w:pPr>
      <w:ind w:left="240" w:hanging="240"/>
    </w:pPr>
  </w:style>
  <w:style w:type="paragraph" w:styleId="ekillerTablosu">
    <w:name w:val="table of figures"/>
    <w:basedOn w:val="Normal"/>
    <w:next w:val="Normal"/>
    <w:uiPriority w:val="98"/>
    <w:semiHidden/>
    <w:rsid w:val="00D406AC"/>
  </w:style>
  <w:style w:type="table" w:styleId="TabloProfesyonel">
    <w:name w:val="Table Professional"/>
    <w:basedOn w:val="NormalTablo"/>
    <w:uiPriority w:val="99"/>
    <w:semiHidden/>
    <w:unhideWhenUsed/>
    <w:rsid w:val="00D406AC"/>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oBasit1">
    <w:name w:val="Table Simple 1"/>
    <w:basedOn w:val="NormalTablo"/>
    <w:uiPriority w:val="99"/>
    <w:semiHidden/>
    <w:unhideWhenUsed/>
    <w:rsid w:val="00D406AC"/>
    <w:pPr>
      <w:jc w:val="both"/>
    </w:pPr>
    <w:rPr>
      <w:sz w:val="24"/>
      <w:szCs w:val="24"/>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oBasit2">
    <w:name w:val="Table Simple 2"/>
    <w:basedOn w:val="NormalTablo"/>
    <w:uiPriority w:val="99"/>
    <w:semiHidden/>
    <w:unhideWhenUsed/>
    <w:rsid w:val="00D406AC"/>
    <w:pPr>
      <w:jc w:val="both"/>
    </w:pPr>
    <w:rPr>
      <w:sz w:val="24"/>
      <w:szCs w:val="24"/>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oBasit3">
    <w:name w:val="Table Simple 3"/>
    <w:basedOn w:val="NormalTablo"/>
    <w:uiPriority w:val="99"/>
    <w:semiHidden/>
    <w:unhideWhenUsed/>
    <w:rsid w:val="00D406AC"/>
    <w:pPr>
      <w:jc w:val="both"/>
    </w:pPr>
    <w:rPr>
      <w:sz w:val="24"/>
      <w:szCs w:val="24"/>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oAltBalk1">
    <w:name w:val="Table Subtle 1"/>
    <w:basedOn w:val="NormalTablo"/>
    <w:uiPriority w:val="99"/>
    <w:semiHidden/>
    <w:unhideWhenUsed/>
    <w:rsid w:val="00D406AC"/>
    <w:pPr>
      <w:jc w:val="both"/>
    </w:pPr>
    <w:rPr>
      <w:sz w:val="24"/>
      <w:szCs w:val="24"/>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AltBalk2">
    <w:name w:val="Table Subtle 2"/>
    <w:basedOn w:val="NormalTablo"/>
    <w:uiPriority w:val="99"/>
    <w:semiHidden/>
    <w:unhideWhenUsed/>
    <w:rsid w:val="00D406AC"/>
    <w:pPr>
      <w:jc w:val="both"/>
    </w:pPr>
    <w:rPr>
      <w:sz w:val="24"/>
      <w:szCs w:val="24"/>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Temas">
    <w:name w:val="Table Theme"/>
    <w:basedOn w:val="NormalTablo"/>
    <w:uiPriority w:val="99"/>
    <w:semiHidden/>
    <w:unhideWhenUsed/>
    <w:rsid w:val="00D406AC"/>
    <w:pPr>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Web1">
    <w:name w:val="Table Web 1"/>
    <w:basedOn w:val="NormalTablo"/>
    <w:uiPriority w:val="99"/>
    <w:semiHidden/>
    <w:unhideWhenUsed/>
    <w:rsid w:val="00D406AC"/>
    <w:pPr>
      <w:jc w:val="both"/>
    </w:pPr>
    <w:rPr>
      <w:sz w:val="24"/>
      <w:szCs w:val="24"/>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oWeb2">
    <w:name w:val="Table Web 2"/>
    <w:basedOn w:val="NormalTablo"/>
    <w:uiPriority w:val="99"/>
    <w:semiHidden/>
    <w:unhideWhenUsed/>
    <w:rsid w:val="00D406AC"/>
    <w:pPr>
      <w:jc w:val="both"/>
    </w:pPr>
    <w:rPr>
      <w:sz w:val="24"/>
      <w:szCs w:val="24"/>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oWeb3">
    <w:name w:val="Table Web 3"/>
    <w:basedOn w:val="NormalTablo"/>
    <w:uiPriority w:val="99"/>
    <w:semiHidden/>
    <w:unhideWhenUsed/>
    <w:rsid w:val="00D406AC"/>
    <w:pPr>
      <w:jc w:val="both"/>
    </w:pPr>
    <w:rPr>
      <w:sz w:val="24"/>
      <w:szCs w:val="24"/>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6">
    <w:name w:val="toc 6"/>
    <w:basedOn w:val="Normal"/>
    <w:next w:val="Normal"/>
    <w:autoRedefine/>
    <w:uiPriority w:val="98"/>
    <w:semiHidden/>
    <w:rsid w:val="00D406AC"/>
    <w:pPr>
      <w:tabs>
        <w:tab w:val="right" w:leader="dot" w:pos="7371"/>
      </w:tabs>
      <w:spacing w:after="60" w:line="240" w:lineRule="exact"/>
      <w:ind w:left="2041" w:right="567" w:hanging="340"/>
    </w:pPr>
    <w:rPr>
      <w:sz w:val="20"/>
    </w:rPr>
  </w:style>
  <w:style w:type="paragraph" w:styleId="T7">
    <w:name w:val="toc 7"/>
    <w:basedOn w:val="Normal"/>
    <w:next w:val="Normal"/>
    <w:autoRedefine/>
    <w:uiPriority w:val="98"/>
    <w:semiHidden/>
    <w:rsid w:val="00D406AC"/>
    <w:pPr>
      <w:tabs>
        <w:tab w:val="right" w:leader="dot" w:pos="7371"/>
      </w:tabs>
      <w:spacing w:after="60" w:line="240" w:lineRule="exact"/>
      <w:ind w:left="2381" w:right="567" w:hanging="340"/>
    </w:pPr>
    <w:rPr>
      <w:sz w:val="20"/>
    </w:rPr>
  </w:style>
  <w:style w:type="paragraph" w:styleId="T8">
    <w:name w:val="toc 8"/>
    <w:basedOn w:val="Normal"/>
    <w:next w:val="Normal"/>
    <w:autoRedefine/>
    <w:uiPriority w:val="98"/>
    <w:semiHidden/>
    <w:rsid w:val="00D406AC"/>
    <w:pPr>
      <w:spacing w:after="100"/>
      <w:ind w:left="1680"/>
    </w:pPr>
  </w:style>
  <w:style w:type="paragraph" w:styleId="T9">
    <w:name w:val="toc 9"/>
    <w:basedOn w:val="Normal"/>
    <w:next w:val="Normal"/>
    <w:autoRedefine/>
    <w:uiPriority w:val="98"/>
    <w:semiHidden/>
    <w:rsid w:val="00D406AC"/>
    <w:pPr>
      <w:spacing w:after="100"/>
      <w:ind w:left="1920"/>
    </w:pPr>
  </w:style>
  <w:style w:type="paragraph" w:customStyle="1" w:styleId="ECHRFooter">
    <w:name w:val="ECHR_Footer"/>
    <w:aliases w:val="Footer_ECHR"/>
    <w:basedOn w:val="AltBilgi"/>
    <w:uiPriority w:val="57"/>
    <w:semiHidden/>
    <w:rsid w:val="00893F30"/>
    <w:rPr>
      <w:sz w:val="8"/>
    </w:rPr>
  </w:style>
  <w:style w:type="paragraph" w:customStyle="1" w:styleId="ECHRFooterLine">
    <w:name w:val="ECHR_Footer_Line"/>
    <w:aliases w:val="_Footer_Line"/>
    <w:basedOn w:val="Normal"/>
    <w:next w:val="Normal"/>
    <w:uiPriority w:val="29"/>
    <w:semiHidden/>
    <w:rsid w:val="00D406AC"/>
    <w:pPr>
      <w:pBdr>
        <w:top w:val="single" w:sz="6" w:space="1" w:color="5F5F5F"/>
      </w:pBdr>
      <w:tabs>
        <w:tab w:val="center" w:pos="3686"/>
        <w:tab w:val="right" w:pos="7371"/>
      </w:tabs>
      <w:ind w:left="-1474" w:right="-1474"/>
    </w:pPr>
    <w:rPr>
      <w:color w:val="5F5F5F"/>
    </w:rPr>
  </w:style>
  <w:style w:type="paragraph" w:customStyle="1" w:styleId="DecHCase">
    <w:name w:val="Dec_H_Case"/>
    <w:aliases w:val="_Title_3"/>
    <w:basedOn w:val="JuPara"/>
    <w:next w:val="JuPara"/>
    <w:uiPriority w:val="38"/>
    <w:qFormat/>
    <w:rsid w:val="00D406AC"/>
    <w:pPr>
      <w:keepNext/>
      <w:keepLines/>
      <w:spacing w:after="280"/>
      <w:ind w:firstLine="0"/>
      <w:jc w:val="center"/>
    </w:pPr>
    <w:rPr>
      <w:rFonts w:asciiTheme="majorHAnsi" w:hAnsiTheme="majorHAnsi"/>
    </w:rPr>
  </w:style>
  <w:style w:type="paragraph" w:customStyle="1" w:styleId="JuTitle">
    <w:name w:val="Ju_Title"/>
    <w:aliases w:val="_Title_2"/>
    <w:basedOn w:val="Normal"/>
    <w:next w:val="JuPara"/>
    <w:uiPriority w:val="38"/>
    <w:qFormat/>
    <w:rsid w:val="00D406AC"/>
    <w:pPr>
      <w:keepNext/>
      <w:keepLines/>
      <w:spacing w:before="1320" w:after="280"/>
      <w:contextualSpacing/>
      <w:jc w:val="center"/>
    </w:pPr>
    <w:rPr>
      <w:b/>
    </w:rPr>
  </w:style>
  <w:style w:type="paragraph" w:customStyle="1" w:styleId="ECHRHeaderLandscape">
    <w:name w:val="ECHR_Header_Landscape"/>
    <w:aliases w:val="_Header_Landscape"/>
    <w:basedOn w:val="JuHeader"/>
    <w:uiPriority w:val="29"/>
    <w:semiHidden/>
    <w:rsid w:val="00D406AC"/>
    <w:pPr>
      <w:tabs>
        <w:tab w:val="center" w:pos="6146"/>
        <w:tab w:val="right" w:pos="13778"/>
      </w:tabs>
      <w:ind w:left="-1474" w:right="-1474"/>
    </w:pPr>
  </w:style>
  <w:style w:type="paragraph" w:customStyle="1" w:styleId="ECHRBullet1">
    <w:name w:val="ECHR_Bullet_1"/>
    <w:aliases w:val="_Bul_1"/>
    <w:basedOn w:val="NormalJustified"/>
    <w:uiPriority w:val="23"/>
    <w:semiHidden/>
    <w:qFormat/>
    <w:rsid w:val="00D406AC"/>
    <w:pPr>
      <w:numPr>
        <w:numId w:val="6"/>
      </w:numPr>
      <w:spacing w:before="60" w:after="60"/>
    </w:pPr>
  </w:style>
  <w:style w:type="paragraph" w:customStyle="1" w:styleId="ECHRBullet2">
    <w:name w:val="ECHR_Bullet_2"/>
    <w:aliases w:val="_Bul_2"/>
    <w:basedOn w:val="ECHRBullet1"/>
    <w:uiPriority w:val="23"/>
    <w:semiHidden/>
    <w:rsid w:val="00D406AC"/>
    <w:pPr>
      <w:numPr>
        <w:ilvl w:val="1"/>
      </w:numPr>
    </w:pPr>
  </w:style>
  <w:style w:type="paragraph" w:customStyle="1" w:styleId="ECHRBullet3">
    <w:name w:val="ECHR_Bullet_3"/>
    <w:aliases w:val="_Bul_3"/>
    <w:basedOn w:val="ECHRBullet2"/>
    <w:uiPriority w:val="23"/>
    <w:semiHidden/>
    <w:rsid w:val="00D406AC"/>
    <w:pPr>
      <w:numPr>
        <w:ilvl w:val="2"/>
      </w:numPr>
    </w:pPr>
  </w:style>
  <w:style w:type="paragraph" w:customStyle="1" w:styleId="ECHRBullet4">
    <w:name w:val="ECHR_Bullet_4"/>
    <w:aliases w:val="_Bul_4"/>
    <w:basedOn w:val="ECHRBullet3"/>
    <w:uiPriority w:val="23"/>
    <w:semiHidden/>
    <w:rsid w:val="00D406AC"/>
    <w:pPr>
      <w:numPr>
        <w:ilvl w:val="3"/>
      </w:numPr>
    </w:pPr>
  </w:style>
  <w:style w:type="paragraph" w:customStyle="1" w:styleId="ECHRConfidential">
    <w:name w:val="ECHR_Confidential"/>
    <w:aliases w:val="_Confidential"/>
    <w:basedOn w:val="Normal"/>
    <w:next w:val="Normal"/>
    <w:uiPriority w:val="42"/>
    <w:semiHidden/>
    <w:qFormat/>
    <w:rsid w:val="00D406AC"/>
    <w:pPr>
      <w:jc w:val="right"/>
    </w:pPr>
    <w:rPr>
      <w:color w:val="C00000"/>
      <w:sz w:val="20"/>
    </w:rPr>
  </w:style>
  <w:style w:type="paragraph" w:customStyle="1" w:styleId="ECHRDecisionBody">
    <w:name w:val="ECHR_Decision_Body"/>
    <w:aliases w:val="_Decision_Body"/>
    <w:basedOn w:val="NormalJustified"/>
    <w:uiPriority w:val="54"/>
    <w:semiHidden/>
    <w:rsid w:val="00D406AC"/>
    <w:pPr>
      <w:tabs>
        <w:tab w:val="left" w:pos="567"/>
        <w:tab w:val="left" w:pos="1134"/>
      </w:tabs>
      <w:spacing w:line="240" w:lineRule="exact"/>
      <w:jc w:val="left"/>
    </w:pPr>
  </w:style>
  <w:style w:type="paragraph" w:customStyle="1" w:styleId="ECHRDivisionName">
    <w:name w:val="ECHR_DivisionName"/>
    <w:aliases w:val="_Div_Name"/>
    <w:basedOn w:val="Normal"/>
    <w:link w:val="ECHRDivisionNameChar"/>
    <w:uiPriority w:val="41"/>
    <w:semiHidden/>
    <w:qFormat/>
    <w:rsid w:val="00D406AC"/>
    <w:pPr>
      <w:contextualSpacing/>
      <w:jc w:val="center"/>
    </w:pPr>
    <w:rPr>
      <w:rFonts w:ascii="Arial" w:hAnsi="Arial"/>
      <w:i/>
      <w:color w:val="002856"/>
      <w:sz w:val="32"/>
    </w:rPr>
  </w:style>
  <w:style w:type="character" w:customStyle="1" w:styleId="ECHRDivisionNameChar">
    <w:name w:val="ECHR_DivisionName Char"/>
    <w:aliases w:val="_Div_Name Char"/>
    <w:basedOn w:val="VarsaylanParagrafYazTipi"/>
    <w:link w:val="ECHRDivisionName"/>
    <w:uiPriority w:val="41"/>
    <w:semiHidden/>
    <w:rsid w:val="00D406AC"/>
    <w:rPr>
      <w:rFonts w:ascii="Arial" w:hAnsi="Arial"/>
      <w:i/>
      <w:color w:val="002856"/>
      <w:sz w:val="32"/>
      <w:szCs w:val="24"/>
      <w:lang w:val="fr-FR"/>
    </w:rPr>
  </w:style>
  <w:style w:type="paragraph" w:customStyle="1" w:styleId="ECHRFooterLineLandscape">
    <w:name w:val="ECHR_Footer_Line_Landscape"/>
    <w:aliases w:val="_Footer_Line_Landscape"/>
    <w:basedOn w:val="Normal"/>
    <w:uiPriority w:val="29"/>
    <w:semiHidden/>
    <w:rsid w:val="00D406AC"/>
    <w:pPr>
      <w:pBdr>
        <w:top w:val="single" w:sz="8" w:space="1" w:color="7F7F7F" w:themeColor="text1" w:themeTint="80"/>
      </w:pBdr>
      <w:tabs>
        <w:tab w:val="center" w:pos="6146"/>
        <w:tab w:val="right" w:pos="12293"/>
      </w:tabs>
      <w:ind w:left="-1474" w:right="-1474"/>
    </w:pPr>
    <w:rPr>
      <w:color w:val="474747" w:themeColor="accent3" w:themeShade="BF"/>
      <w:sz w:val="22"/>
    </w:rPr>
  </w:style>
  <w:style w:type="paragraph" w:customStyle="1" w:styleId="ECHRHeaderDate">
    <w:name w:val="ECHR_Header_Date"/>
    <w:aliases w:val="_Ref_Date"/>
    <w:basedOn w:val="Normal"/>
    <w:uiPriority w:val="44"/>
    <w:semiHidden/>
    <w:qFormat/>
    <w:rsid w:val="00D406AC"/>
    <w:pPr>
      <w:jc w:val="right"/>
    </w:pPr>
    <w:rPr>
      <w:sz w:val="20"/>
    </w:rPr>
  </w:style>
  <w:style w:type="paragraph" w:customStyle="1" w:styleId="ECHRHeaderRefIt">
    <w:name w:val="ECHR_Header_Ref_It"/>
    <w:aliases w:val="_Ref_Ital"/>
    <w:basedOn w:val="Normal"/>
    <w:next w:val="ECHRHeaderDate"/>
    <w:uiPriority w:val="43"/>
    <w:qFormat/>
    <w:rsid w:val="00D406AC"/>
    <w:pPr>
      <w:jc w:val="right"/>
    </w:pPr>
    <w:rPr>
      <w:i/>
      <w:sz w:val="20"/>
    </w:rPr>
  </w:style>
  <w:style w:type="paragraph" w:customStyle="1" w:styleId="ECHRHeading9">
    <w:name w:val="ECHR_Heading_9"/>
    <w:aliases w:val="_Head_9"/>
    <w:basedOn w:val="Balk9"/>
    <w:uiPriority w:val="17"/>
    <w:semiHidden/>
    <w:rsid w:val="00D406AC"/>
    <w:pPr>
      <w:keepNext/>
      <w:keepLines/>
      <w:numPr>
        <w:ilvl w:val="8"/>
        <w:numId w:val="2"/>
      </w:numPr>
      <w:spacing w:before="100" w:beforeAutospacing="1"/>
      <w:contextualSpacing/>
      <w:jc w:val="both"/>
    </w:pPr>
    <w:rPr>
      <w:i w:val="0"/>
      <w:sz w:val="18"/>
    </w:rPr>
  </w:style>
  <w:style w:type="paragraph" w:customStyle="1" w:styleId="ECHRLine">
    <w:name w:val="ECHR_Line"/>
    <w:aliases w:val="_Line"/>
    <w:basedOn w:val="NormalJustified"/>
    <w:next w:val="Normal"/>
    <w:uiPriority w:val="46"/>
    <w:semiHidden/>
    <w:rsid w:val="00D406AC"/>
    <w:pPr>
      <w:pBdr>
        <w:bottom w:val="single" w:sz="12" w:space="1" w:color="949494" w:themeColor="text2" w:themeShade="BF"/>
      </w:pBdr>
      <w:spacing w:after="120"/>
    </w:pPr>
    <w:rPr>
      <w:sz w:val="12"/>
    </w:rPr>
  </w:style>
  <w:style w:type="paragraph" w:customStyle="1" w:styleId="ECHRNumberedList1">
    <w:name w:val="ECHR_Numbered_List_1"/>
    <w:aliases w:val="_Num_1"/>
    <w:basedOn w:val="Normal"/>
    <w:uiPriority w:val="23"/>
    <w:semiHidden/>
    <w:qFormat/>
    <w:rsid w:val="00D406AC"/>
    <w:pPr>
      <w:numPr>
        <w:numId w:val="8"/>
      </w:numPr>
      <w:spacing w:before="60" w:after="60"/>
    </w:pPr>
  </w:style>
  <w:style w:type="paragraph" w:customStyle="1" w:styleId="ECHRNumberedList2">
    <w:name w:val="ECHR_Numbered_List_2"/>
    <w:aliases w:val="_Num_2"/>
    <w:basedOn w:val="ECHRNumberedList1"/>
    <w:uiPriority w:val="23"/>
    <w:semiHidden/>
    <w:rsid w:val="00D406AC"/>
    <w:pPr>
      <w:numPr>
        <w:ilvl w:val="1"/>
      </w:numPr>
    </w:pPr>
  </w:style>
  <w:style w:type="paragraph" w:customStyle="1" w:styleId="ECHRNumberedList3">
    <w:name w:val="ECHR_Numbered_List_3"/>
    <w:aliases w:val="_Num_3"/>
    <w:basedOn w:val="ECHRNumberedList2"/>
    <w:uiPriority w:val="23"/>
    <w:semiHidden/>
    <w:rsid w:val="00D406AC"/>
    <w:pPr>
      <w:numPr>
        <w:ilvl w:val="2"/>
      </w:numPr>
    </w:pPr>
  </w:style>
  <w:style w:type="paragraph" w:customStyle="1" w:styleId="ECHRParaHanging">
    <w:name w:val="ECHR_Para_Hanging"/>
    <w:aliases w:val="_Hanging"/>
    <w:basedOn w:val="Normal"/>
    <w:uiPriority w:val="8"/>
    <w:semiHidden/>
    <w:qFormat/>
    <w:rsid w:val="00D406AC"/>
    <w:pPr>
      <w:ind w:left="567" w:hanging="567"/>
      <w:jc w:val="both"/>
    </w:pPr>
  </w:style>
  <w:style w:type="paragraph" w:customStyle="1" w:styleId="ECHRParaIndent">
    <w:name w:val="ECHR_Para_Indent"/>
    <w:aliases w:val="_Indent"/>
    <w:basedOn w:val="Normal"/>
    <w:uiPriority w:val="7"/>
    <w:semiHidden/>
    <w:qFormat/>
    <w:rsid w:val="00D406AC"/>
    <w:pPr>
      <w:spacing w:before="120" w:after="120"/>
      <w:ind w:left="567"/>
      <w:jc w:val="both"/>
    </w:pPr>
  </w:style>
  <w:style w:type="character" w:customStyle="1" w:styleId="ECHRRed">
    <w:name w:val="ECHR_Red"/>
    <w:aliases w:val="_Red"/>
    <w:basedOn w:val="VarsaylanParagrafYazTipi"/>
    <w:uiPriority w:val="15"/>
    <w:semiHidden/>
    <w:qFormat/>
    <w:rsid w:val="00D406AC"/>
    <w:rPr>
      <w:color w:val="C00000" w:themeColor="accent2"/>
    </w:rPr>
  </w:style>
  <w:style w:type="paragraph" w:customStyle="1" w:styleId="DecList">
    <w:name w:val="Dec_List"/>
    <w:aliases w:val="_List"/>
    <w:basedOn w:val="JuList"/>
    <w:uiPriority w:val="22"/>
    <w:rsid w:val="00D406AC"/>
    <w:pPr>
      <w:numPr>
        <w:numId w:val="0"/>
      </w:numPr>
      <w:ind w:left="284"/>
    </w:pPr>
  </w:style>
  <w:style w:type="table" w:customStyle="1" w:styleId="ECHRTable2">
    <w:name w:val="ECHR_Table_2"/>
    <w:basedOn w:val="NormalTablo"/>
    <w:uiPriority w:val="99"/>
    <w:rsid w:val="00D406AC"/>
    <w:pPr>
      <w:tabs>
        <w:tab w:val="left" w:pos="567"/>
        <w:tab w:val="left" w:pos="851"/>
        <w:tab w:val="right" w:pos="5273"/>
      </w:tabs>
    </w:pPr>
    <w:rPr>
      <w:color w:val="262626" w:themeColor="text1" w:themeTint="D9"/>
      <w:sz w:val="24"/>
      <w:szCs w:val="24"/>
    </w:rPr>
    <w:tblPr>
      <w:tblStyleRowBandSize w:val="1"/>
      <w:tblStyleColBandSize w:val="1"/>
      <w:tblCellSpacing w:w="28" w:type="dxa"/>
      <w:tblInd w:w="-964" w:type="dxa"/>
      <w:tblCellMar>
        <w:top w:w="85" w:type="dxa"/>
        <w:left w:w="113" w:type="dxa"/>
        <w:bottom w:w="85" w:type="dxa"/>
        <w:right w:w="113" w:type="dxa"/>
      </w:tblCellMar>
    </w:tblPr>
    <w:trPr>
      <w:tblCellSpacing w:w="28" w:type="dxa"/>
    </w:trPr>
    <w:tblStylePr w:type="firstRow">
      <w:pPr>
        <w:jc w:val="center"/>
      </w:pPr>
      <w:rPr>
        <w:b/>
        <w:sz w:val="24"/>
      </w:rPr>
      <w:tblPr/>
      <w:tcPr>
        <w:tcBorders>
          <w:top w:val="nil"/>
          <w:left w:val="nil"/>
          <w:bottom w:val="nil"/>
          <w:right w:val="nil"/>
          <w:insideH w:val="nil"/>
          <w:insideV w:val="nil"/>
          <w:tl2br w:val="nil"/>
          <w:tr2bl w:val="nil"/>
        </w:tcBorders>
        <w:shd w:val="clear" w:color="auto" w:fill="DFDFDF" w:themeFill="background2" w:themeFillShade="E6"/>
      </w:tcPr>
    </w:tblStylePr>
    <w:tblStylePr w:type="lastRow">
      <w:rPr>
        <w:b/>
      </w:rPr>
      <w:tblPr/>
      <w:tcPr>
        <w:tcBorders>
          <w:top w:val="nil"/>
          <w:left w:val="nil"/>
          <w:bottom w:val="nil"/>
          <w:right w:val="nil"/>
          <w:insideH w:val="nil"/>
          <w:insideV w:val="nil"/>
          <w:tl2br w:val="nil"/>
          <w:tr2bl w:val="nil"/>
        </w:tcBorders>
        <w:shd w:val="clear" w:color="auto" w:fill="ECECEC"/>
      </w:tcPr>
    </w:tblStylePr>
    <w:tblStylePr w:type="firstCol">
      <w:tblPr/>
      <w:tcPr>
        <w:tcBorders>
          <w:top w:val="nil"/>
          <w:left w:val="nil"/>
          <w:bottom w:val="nil"/>
          <w:right w:val="nil"/>
          <w:insideH w:val="nil"/>
          <w:insideV w:val="nil"/>
          <w:tl2br w:val="nil"/>
          <w:tr2bl w:val="nil"/>
        </w:tcBorders>
        <w:shd w:val="clear" w:color="auto" w:fill="EFF8FF"/>
      </w:tcPr>
    </w:tblStylePr>
    <w:tblStylePr w:type="lastCol">
      <w:tblPr/>
      <w:tcPr>
        <w:tcBorders>
          <w:top w:val="nil"/>
          <w:left w:val="nil"/>
          <w:bottom w:val="nil"/>
          <w:right w:val="nil"/>
          <w:insideH w:val="nil"/>
          <w:insideV w:val="nil"/>
          <w:tl2br w:val="nil"/>
          <w:tr2bl w:val="nil"/>
        </w:tcBorders>
        <w:shd w:val="clear" w:color="auto" w:fill="F3FCE8"/>
      </w:tcPr>
    </w:tblStylePr>
    <w:tblStylePr w:type="band1Vert">
      <w:pPr>
        <w:jc w:val="center"/>
      </w:pPr>
      <w:rPr>
        <w:b/>
        <w:sz w:val="28"/>
      </w:rPr>
      <w:tblPr/>
      <w:tcPr>
        <w:tcBorders>
          <w:top w:val="nil"/>
          <w:left w:val="nil"/>
          <w:bottom w:val="nil"/>
          <w:right w:val="nil"/>
          <w:insideH w:val="nil"/>
          <w:insideV w:val="nil"/>
          <w:tl2br w:val="nil"/>
          <w:tr2bl w:val="nil"/>
        </w:tcBorders>
        <w:shd w:val="clear" w:color="auto" w:fill="A7DBFF"/>
      </w:tcPr>
    </w:tblStylePr>
    <w:tblStylePr w:type="band2Vert">
      <w:pPr>
        <w:jc w:val="center"/>
      </w:pPr>
      <w:rPr>
        <w:b/>
        <w:sz w:val="28"/>
      </w:rPr>
      <w:tblPr/>
      <w:tcPr>
        <w:tcBorders>
          <w:top w:val="nil"/>
          <w:left w:val="nil"/>
          <w:bottom w:val="nil"/>
          <w:right w:val="nil"/>
          <w:insideH w:val="nil"/>
          <w:insideV w:val="nil"/>
          <w:tl2br w:val="nil"/>
          <w:tr2bl w:val="nil"/>
        </w:tcBorders>
        <w:shd w:val="clear" w:color="auto" w:fill="C6F094"/>
      </w:tcPr>
    </w:tblStylePr>
    <w:tblStylePr w:type="band1Horz">
      <w:tblPr/>
      <w:tcPr>
        <w:tcBorders>
          <w:top w:val="nil"/>
          <w:left w:val="nil"/>
          <w:bottom w:val="nil"/>
          <w:right w:val="nil"/>
          <w:insideH w:val="nil"/>
          <w:insideV w:val="nil"/>
          <w:tl2br w:val="nil"/>
          <w:tr2bl w:val="nil"/>
        </w:tcBorders>
      </w:tcPr>
    </w:tblStylePr>
    <w:tblStylePr w:type="band2Horz">
      <w:tblPr/>
      <w:tcPr>
        <w:tcBorders>
          <w:top w:val="nil"/>
          <w:left w:val="nil"/>
          <w:bottom w:val="nil"/>
          <w:right w:val="nil"/>
          <w:insideH w:val="nil"/>
          <w:insideV w:val="nil"/>
          <w:tl2br w:val="nil"/>
          <w:tr2bl w:val="nil"/>
        </w:tcBorders>
        <w:shd w:val="clear" w:color="auto" w:fill="F8F8F8" w:themeFill="background2"/>
      </w:tcPr>
    </w:tblStylePr>
    <w:tblStylePr w:type="neCell">
      <w:pPr>
        <w:jc w:val="center"/>
      </w:pPr>
      <w:rPr>
        <w:b/>
      </w:rPr>
      <w:tblPr/>
      <w:tcPr>
        <w:tcBorders>
          <w:top w:val="nil"/>
          <w:left w:val="nil"/>
          <w:bottom w:val="nil"/>
          <w:right w:val="nil"/>
          <w:insideH w:val="nil"/>
          <w:insideV w:val="nil"/>
          <w:tl2br w:val="nil"/>
          <w:tr2bl w:val="nil"/>
        </w:tcBorders>
        <w:shd w:val="clear" w:color="auto" w:fill="DCF6BC"/>
      </w:tcPr>
    </w:tblStylePr>
    <w:tblStylePr w:type="nwCell">
      <w:pPr>
        <w:jc w:val="center"/>
      </w:pPr>
      <w:rPr>
        <w:b/>
      </w:rPr>
      <w:tblPr/>
      <w:tcPr>
        <w:tcBorders>
          <w:top w:val="nil"/>
          <w:left w:val="nil"/>
          <w:bottom w:val="nil"/>
          <w:right w:val="nil"/>
          <w:insideH w:val="nil"/>
          <w:insideV w:val="nil"/>
          <w:tl2br w:val="nil"/>
          <w:tr2bl w:val="nil"/>
        </w:tcBorders>
        <w:shd w:val="clear" w:color="auto" w:fill="CDEBFF"/>
      </w:tcPr>
    </w:tblStylePr>
    <w:tblStylePr w:type="seCell">
      <w:tblPr/>
      <w:tcPr>
        <w:tcBorders>
          <w:top w:val="nil"/>
          <w:left w:val="nil"/>
          <w:bottom w:val="nil"/>
          <w:right w:val="nil"/>
          <w:insideH w:val="nil"/>
          <w:insideV w:val="nil"/>
          <w:tl2br w:val="nil"/>
          <w:tr2bl w:val="nil"/>
        </w:tcBorders>
        <w:shd w:val="clear" w:color="auto" w:fill="C6F094"/>
      </w:tcPr>
    </w:tblStylePr>
    <w:tblStylePr w:type="swCell">
      <w:tblPr/>
      <w:tcPr>
        <w:tcBorders>
          <w:top w:val="nil"/>
          <w:left w:val="nil"/>
          <w:bottom w:val="nil"/>
          <w:right w:val="nil"/>
          <w:insideH w:val="nil"/>
          <w:insideV w:val="nil"/>
          <w:tl2br w:val="nil"/>
          <w:tr2bl w:val="nil"/>
        </w:tcBorders>
        <w:shd w:val="clear" w:color="auto" w:fill="A7DBFF"/>
      </w:tcPr>
    </w:tblStylePr>
  </w:style>
  <w:style w:type="table" w:customStyle="1" w:styleId="ECHRTable2016">
    <w:name w:val="ECHR_Table_2016"/>
    <w:basedOn w:val="NormalTablo"/>
    <w:uiPriority w:val="99"/>
    <w:rsid w:val="00D406AC"/>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F8F8F8" w:themeColor="background2"/>
        <w:sz w:val="22"/>
      </w:rPr>
      <w:tblPr/>
      <w:trPr>
        <w:tblHeader/>
      </w:tr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F8F8F8" w:themeColor="background2"/>
          <w:tl2br w:val="nil"/>
          <w:tr2bl w:val="nil"/>
        </w:tcBorders>
        <w:shd w:val="clear" w:color="auto" w:fill="5F5F5F" w:themeFill="accent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band2Horz">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single" w:sz="4" w:space="0" w:color="0072BC" w:themeColor="accent1"/>
          <w:insideV w:val="single" w:sz="4" w:space="0" w:color="0072BC" w:themeColor="accent1"/>
          <w:tl2br w:val="nil"/>
          <w:tr2bl w:val="nil"/>
        </w:tcBorders>
        <w:shd w:val="clear" w:color="auto" w:fill="E8E8E8" w:themeFill="text2" w:themeFillTint="66"/>
      </w:tcPr>
    </w:tblStylePr>
  </w:style>
  <w:style w:type="paragraph" w:customStyle="1" w:styleId="ECHRTitle1">
    <w:name w:val="ECHR_Title_1"/>
    <w:aliases w:val="_Title_L_1"/>
    <w:basedOn w:val="Normal"/>
    <w:next w:val="Normal"/>
    <w:uiPriority w:val="28"/>
    <w:semiHidden/>
    <w:qFormat/>
    <w:rsid w:val="00D406AC"/>
    <w:pPr>
      <w:keepNext/>
      <w:keepLines/>
      <w:spacing w:before="240"/>
      <w:contextualSpacing/>
    </w:pPr>
    <w:rPr>
      <w:rFonts w:asciiTheme="majorHAnsi" w:hAnsiTheme="majorHAnsi"/>
      <w:b/>
      <w:color w:val="2F2F2F" w:themeColor="accent3" w:themeShade="80"/>
      <w:sz w:val="32"/>
    </w:rPr>
  </w:style>
  <w:style w:type="paragraph" w:customStyle="1" w:styleId="ECHRTitle2">
    <w:name w:val="ECHR_Title_2"/>
    <w:aliases w:val="_Title_L_2"/>
    <w:basedOn w:val="Normal"/>
    <w:next w:val="Normal"/>
    <w:uiPriority w:val="28"/>
    <w:semiHidden/>
    <w:qFormat/>
    <w:rsid w:val="00D406AC"/>
    <w:pPr>
      <w:keepNext/>
      <w:keepLines/>
      <w:spacing w:before="240"/>
      <w:contextualSpacing/>
    </w:pPr>
    <w:rPr>
      <w:rFonts w:asciiTheme="majorHAnsi" w:hAnsiTheme="majorHAnsi"/>
      <w:b/>
      <w:color w:val="474747" w:themeColor="accent3" w:themeShade="BF"/>
      <w:sz w:val="28"/>
    </w:rPr>
  </w:style>
  <w:style w:type="paragraph" w:customStyle="1" w:styleId="ECHRTitle3">
    <w:name w:val="ECHR_Title_3"/>
    <w:aliases w:val="_Title_L_3"/>
    <w:basedOn w:val="Normal"/>
    <w:next w:val="Normal"/>
    <w:uiPriority w:val="28"/>
    <w:semiHidden/>
    <w:qFormat/>
    <w:rsid w:val="00D406AC"/>
    <w:pPr>
      <w:keepNext/>
      <w:keepLines/>
      <w:spacing w:before="240"/>
      <w:contextualSpacing/>
    </w:pPr>
    <w:rPr>
      <w:rFonts w:asciiTheme="majorHAnsi" w:hAnsiTheme="majorHAnsi"/>
      <w:b/>
      <w:color w:val="474747" w:themeColor="accent3" w:themeShade="BF"/>
    </w:rPr>
  </w:style>
  <w:style w:type="paragraph" w:customStyle="1" w:styleId="ECHRTitleCentre1">
    <w:name w:val="ECHR_Title_Centre_1"/>
    <w:aliases w:val="_Title_C_1"/>
    <w:basedOn w:val="Normal"/>
    <w:next w:val="Normal"/>
    <w:uiPriority w:val="26"/>
    <w:semiHidden/>
    <w:qFormat/>
    <w:rsid w:val="00D406AC"/>
    <w:pPr>
      <w:keepNext/>
      <w:keepLines/>
      <w:spacing w:before="240"/>
      <w:contextualSpacing/>
      <w:jc w:val="center"/>
    </w:pPr>
    <w:rPr>
      <w:rFonts w:asciiTheme="majorHAnsi" w:hAnsiTheme="majorHAnsi"/>
      <w:b/>
      <w:color w:val="2F2F2F" w:themeColor="accent3" w:themeShade="80"/>
      <w:sz w:val="32"/>
    </w:rPr>
  </w:style>
  <w:style w:type="paragraph" w:customStyle="1" w:styleId="ECHRTitleCentre2">
    <w:name w:val="ECHR_Title_Centre_2"/>
    <w:aliases w:val="_Title_C_2"/>
    <w:basedOn w:val="Normal"/>
    <w:next w:val="Normal"/>
    <w:uiPriority w:val="26"/>
    <w:semiHidden/>
    <w:qFormat/>
    <w:rsid w:val="00D406AC"/>
    <w:pPr>
      <w:keepNext/>
      <w:keepLines/>
      <w:spacing w:before="240"/>
      <w:contextualSpacing/>
      <w:jc w:val="center"/>
    </w:pPr>
    <w:rPr>
      <w:rFonts w:asciiTheme="majorHAnsi" w:hAnsiTheme="majorHAnsi"/>
      <w:b/>
      <w:color w:val="474747" w:themeColor="accent3" w:themeShade="BF"/>
      <w:sz w:val="28"/>
    </w:rPr>
  </w:style>
  <w:style w:type="paragraph" w:customStyle="1" w:styleId="ECHRTitleCentre3">
    <w:name w:val="ECHR_Title_Centre_3"/>
    <w:aliases w:val="_Title_C_3"/>
    <w:basedOn w:val="Normal"/>
    <w:next w:val="Normal"/>
    <w:uiPriority w:val="26"/>
    <w:semiHidden/>
    <w:qFormat/>
    <w:rsid w:val="00D406AC"/>
    <w:pPr>
      <w:keepNext/>
      <w:keepLines/>
      <w:spacing w:before="240"/>
      <w:contextualSpacing/>
      <w:jc w:val="center"/>
    </w:pPr>
    <w:rPr>
      <w:rFonts w:asciiTheme="majorHAnsi" w:hAnsiTheme="majorHAnsi"/>
      <w:b/>
      <w:color w:val="474747" w:themeColor="accent3" w:themeShade="BF"/>
    </w:rPr>
  </w:style>
  <w:style w:type="paragraph" w:customStyle="1" w:styleId="ECHRTitleCentreTOC1">
    <w:name w:val="ECHR_Title_Centre_TOC_1"/>
    <w:aliases w:val="_Title_C_TOC"/>
    <w:basedOn w:val="ECHRTitleCentre1"/>
    <w:next w:val="Normal"/>
    <w:uiPriority w:val="25"/>
    <w:semiHidden/>
    <w:qFormat/>
    <w:rsid w:val="00D406AC"/>
    <w:pPr>
      <w:outlineLvl w:val="0"/>
    </w:pPr>
  </w:style>
  <w:style w:type="paragraph" w:customStyle="1" w:styleId="ECHRTitleTOC1">
    <w:name w:val="ECHR_Title_TOC_1"/>
    <w:aliases w:val="_Title_L_TOC"/>
    <w:basedOn w:val="ECHRTitle1"/>
    <w:next w:val="Normal"/>
    <w:uiPriority w:val="27"/>
    <w:semiHidden/>
    <w:qFormat/>
    <w:rsid w:val="00D406AC"/>
    <w:pPr>
      <w:outlineLvl w:val="0"/>
    </w:pPr>
  </w:style>
  <w:style w:type="paragraph" w:customStyle="1" w:styleId="ECHRPlaceholder">
    <w:name w:val="ECHR_Placeholder"/>
    <w:aliases w:val="_Placeholder"/>
    <w:basedOn w:val="JuSigned"/>
    <w:uiPriority w:val="31"/>
    <w:rsid w:val="00D406AC"/>
    <w:rPr>
      <w:color w:val="FFFFFF"/>
    </w:rPr>
  </w:style>
  <w:style w:type="paragraph" w:customStyle="1" w:styleId="ECHRSpacer">
    <w:name w:val="ECHR_Spacer"/>
    <w:aliases w:val="_Spacer"/>
    <w:basedOn w:val="Normal"/>
    <w:uiPriority w:val="45"/>
    <w:semiHidden/>
    <w:rsid w:val="00D406AC"/>
    <w:rPr>
      <w:sz w:val="4"/>
    </w:rPr>
  </w:style>
  <w:style w:type="table" w:customStyle="1" w:styleId="ECHRTableGrey">
    <w:name w:val="ECHR_Table_Grey"/>
    <w:basedOn w:val="NormalTablo"/>
    <w:uiPriority w:val="99"/>
    <w:rsid w:val="00D406AC"/>
    <w:pPr>
      <w:tabs>
        <w:tab w:val="left" w:pos="397"/>
      </w:tabs>
    </w:pPr>
    <w:tblPr>
      <w:jc w:val="center"/>
      <w:tblBorders>
        <w:top w:val="single" w:sz="4" w:space="0" w:color="636363" w:themeColor="text2" w:themeShade="80"/>
        <w:left w:val="single" w:sz="4" w:space="0" w:color="636363" w:themeColor="text2" w:themeShade="80"/>
        <w:bottom w:val="single" w:sz="4" w:space="0" w:color="636363" w:themeColor="text2" w:themeShade="80"/>
        <w:right w:val="single" w:sz="4" w:space="0" w:color="636363" w:themeColor="text2" w:themeShade="80"/>
      </w:tblBorders>
      <w:tblCellMar>
        <w:top w:w="142" w:type="dxa"/>
        <w:bottom w:w="85" w:type="dxa"/>
      </w:tblCellMar>
    </w:tblPr>
    <w:trPr>
      <w:jc w:val="center"/>
    </w:trPr>
    <w:tcPr>
      <w:shd w:val="clear" w:color="auto" w:fill="F8F8F8" w:themeFill="background2"/>
    </w:tcPr>
    <w:tblStylePr w:type="firstRow">
      <w:rPr>
        <w:b/>
        <w:color w:val="262626" w:themeColor="text1" w:themeTint="D9"/>
      </w:rPr>
    </w:tblStylePr>
  </w:style>
  <w:style w:type="character" w:customStyle="1" w:styleId="JuParaChar">
    <w:name w:val="Ju_Para Char"/>
    <w:aliases w:val="_Para Char"/>
    <w:link w:val="JuPara"/>
    <w:uiPriority w:val="4"/>
    <w:rsid w:val="00540D5A"/>
    <w:rPr>
      <w:sz w:val="24"/>
      <w:szCs w:val="24"/>
      <w:lang w:val="fr-FR"/>
    </w:rPr>
  </w:style>
  <w:style w:type="character" w:customStyle="1" w:styleId="JuNames0">
    <w:name w:val="Ju_Names"/>
    <w:rsid w:val="00540D5A"/>
    <w:rPr>
      <w:smallCaps/>
    </w:rPr>
  </w:style>
  <w:style w:type="paragraph" w:customStyle="1" w:styleId="JuList4">
    <w:name w:val="Ju_List_4"/>
    <w:aliases w:val="N_Bul_4"/>
    <w:basedOn w:val="JuListi"/>
    <w:uiPriority w:val="19"/>
    <w:rsid w:val="00540D5A"/>
    <w:pPr>
      <w:numPr>
        <w:ilvl w:val="0"/>
        <w:numId w:val="0"/>
      </w:numPr>
      <w:tabs>
        <w:tab w:val="num" w:pos="1701"/>
      </w:tabs>
      <w:spacing w:before="60" w:after="60" w:line="240" w:lineRule="exact"/>
      <w:ind w:left="1703" w:hanging="284"/>
      <w:contextualSpacing/>
    </w:pPr>
    <w:rPr>
      <w:sz w:val="22"/>
      <w:lang w:eastAsia="fr-FR"/>
    </w:rPr>
  </w:style>
  <w:style w:type="table" w:styleId="KlavuzTablo1Ak">
    <w:name w:val="Grid Table 1 Light"/>
    <w:basedOn w:val="NormalTablo"/>
    <w:uiPriority w:val="46"/>
    <w:semiHidden/>
    <w:rsid w:val="00540D5A"/>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zmlenmeyenBahsetme1">
    <w:name w:val="Çözümlenmeyen Bahsetme1"/>
    <w:basedOn w:val="VarsaylanParagrafYazTipi"/>
    <w:uiPriority w:val="99"/>
    <w:semiHidden/>
    <w:unhideWhenUsed/>
    <w:rsid w:val="00540D5A"/>
    <w:rPr>
      <w:color w:val="605E5C"/>
      <w:shd w:val="clear" w:color="auto" w:fill="E1DFDD"/>
    </w:rPr>
  </w:style>
  <w:style w:type="table" w:styleId="KlavuzTablo1Ak-Vurgu1">
    <w:name w:val="Grid Table 1 Light Accent 1"/>
    <w:basedOn w:val="NormalTablo"/>
    <w:uiPriority w:val="46"/>
    <w:semiHidden/>
    <w:rsid w:val="00540D5A"/>
    <w:tblPr>
      <w:tblStyleRowBandSize w:val="1"/>
      <w:tblStyleColBandSize w:val="1"/>
      <w:tblBorders>
        <w:top w:val="single" w:sz="4" w:space="0" w:color="7ECBFF" w:themeColor="accent1" w:themeTint="66"/>
        <w:left w:val="single" w:sz="4" w:space="0" w:color="7ECBFF" w:themeColor="accent1" w:themeTint="66"/>
        <w:bottom w:val="single" w:sz="4" w:space="0" w:color="7ECBFF" w:themeColor="accent1" w:themeTint="66"/>
        <w:right w:val="single" w:sz="4" w:space="0" w:color="7ECBFF" w:themeColor="accent1" w:themeTint="66"/>
        <w:insideH w:val="single" w:sz="4" w:space="0" w:color="7ECBFF" w:themeColor="accent1" w:themeTint="66"/>
        <w:insideV w:val="single" w:sz="4" w:space="0" w:color="7ECBFF" w:themeColor="accent1" w:themeTint="66"/>
      </w:tblBorders>
    </w:tblPr>
    <w:tblStylePr w:type="firstRow">
      <w:rPr>
        <w:b/>
        <w:bCs/>
      </w:rPr>
      <w:tblPr/>
      <w:tcPr>
        <w:tcBorders>
          <w:bottom w:val="single" w:sz="12" w:space="0" w:color="3DB2FF" w:themeColor="accent1" w:themeTint="99"/>
        </w:tcBorders>
      </w:tcPr>
    </w:tblStylePr>
    <w:tblStylePr w:type="lastRow">
      <w:rPr>
        <w:b/>
        <w:bCs/>
      </w:rPr>
      <w:tblPr/>
      <w:tcPr>
        <w:tcBorders>
          <w:top w:val="double" w:sz="2" w:space="0" w:color="3DB2FF" w:themeColor="accent1" w:themeTint="99"/>
        </w:tcBorders>
      </w:tcPr>
    </w:tblStylePr>
    <w:tblStylePr w:type="firstCol">
      <w:rPr>
        <w:b/>
        <w:bCs/>
      </w:rPr>
    </w:tblStylePr>
    <w:tblStylePr w:type="lastCol">
      <w:rPr>
        <w:b/>
        <w:bCs/>
      </w:rPr>
    </w:tblStylePr>
  </w:style>
  <w:style w:type="table" w:styleId="KlavuzTablo1Ak-Vurgu2">
    <w:name w:val="Grid Table 1 Light Accent 2"/>
    <w:basedOn w:val="NormalTablo"/>
    <w:uiPriority w:val="46"/>
    <w:semiHidden/>
    <w:rsid w:val="00540D5A"/>
    <w:tblPr>
      <w:tblStyleRowBandSize w:val="1"/>
      <w:tblStyleColBandSize w:val="1"/>
      <w:tblBorders>
        <w:top w:val="single" w:sz="4" w:space="0" w:color="FF7F7F" w:themeColor="accent2" w:themeTint="66"/>
        <w:left w:val="single" w:sz="4" w:space="0" w:color="FF7F7F" w:themeColor="accent2" w:themeTint="66"/>
        <w:bottom w:val="single" w:sz="4" w:space="0" w:color="FF7F7F" w:themeColor="accent2" w:themeTint="66"/>
        <w:right w:val="single" w:sz="4" w:space="0" w:color="FF7F7F" w:themeColor="accent2" w:themeTint="66"/>
        <w:insideH w:val="single" w:sz="4" w:space="0" w:color="FF7F7F" w:themeColor="accent2" w:themeTint="66"/>
        <w:insideV w:val="single" w:sz="4" w:space="0" w:color="FF7F7F" w:themeColor="accent2" w:themeTint="66"/>
      </w:tblBorders>
    </w:tblPr>
    <w:tblStylePr w:type="firstRow">
      <w:rPr>
        <w:b/>
        <w:bCs/>
      </w:rPr>
      <w:tblPr/>
      <w:tcPr>
        <w:tcBorders>
          <w:bottom w:val="single" w:sz="12" w:space="0" w:color="FF4040" w:themeColor="accent2" w:themeTint="99"/>
        </w:tcBorders>
      </w:tcPr>
    </w:tblStylePr>
    <w:tblStylePr w:type="lastRow">
      <w:rPr>
        <w:b/>
        <w:bCs/>
      </w:rPr>
      <w:tblPr/>
      <w:tcPr>
        <w:tcBorders>
          <w:top w:val="double" w:sz="2" w:space="0" w:color="FF4040" w:themeColor="accent2" w:themeTint="99"/>
        </w:tcBorders>
      </w:tcPr>
    </w:tblStylePr>
    <w:tblStylePr w:type="firstCol">
      <w:rPr>
        <w:b/>
        <w:bCs/>
      </w:rPr>
    </w:tblStylePr>
    <w:tblStylePr w:type="lastCol">
      <w:rPr>
        <w:b/>
        <w:bCs/>
      </w:rPr>
    </w:tblStylePr>
  </w:style>
  <w:style w:type="table" w:styleId="KlavuzTablo1Ak-Vurgu3">
    <w:name w:val="Grid Table 1 Light Accent 3"/>
    <w:basedOn w:val="NormalTablo"/>
    <w:uiPriority w:val="46"/>
    <w:semiHidden/>
    <w:rsid w:val="00540D5A"/>
    <w:tblPr>
      <w:tblStyleRowBandSize w:val="1"/>
      <w:tblStyleColBandSize w:val="1"/>
      <w:tblBorders>
        <w:top w:val="single" w:sz="4" w:space="0" w:color="BFBFBF" w:themeColor="accent3" w:themeTint="66"/>
        <w:left w:val="single" w:sz="4" w:space="0" w:color="BFBFBF" w:themeColor="accent3" w:themeTint="66"/>
        <w:bottom w:val="single" w:sz="4" w:space="0" w:color="BFBFBF" w:themeColor="accent3" w:themeTint="66"/>
        <w:right w:val="single" w:sz="4" w:space="0" w:color="BFBFBF" w:themeColor="accent3" w:themeTint="66"/>
        <w:insideH w:val="single" w:sz="4" w:space="0" w:color="BFBFBF" w:themeColor="accent3" w:themeTint="66"/>
        <w:insideV w:val="single" w:sz="4" w:space="0" w:color="BFBFBF" w:themeColor="accent3" w:themeTint="66"/>
      </w:tblBorders>
    </w:tblPr>
    <w:tblStylePr w:type="firstRow">
      <w:rPr>
        <w:b/>
        <w:bCs/>
      </w:rPr>
      <w:tblPr/>
      <w:tcPr>
        <w:tcBorders>
          <w:bottom w:val="single" w:sz="12" w:space="0" w:color="9F9F9F" w:themeColor="accent3" w:themeTint="99"/>
        </w:tcBorders>
      </w:tcPr>
    </w:tblStylePr>
    <w:tblStylePr w:type="lastRow">
      <w:rPr>
        <w:b/>
        <w:bCs/>
      </w:rPr>
      <w:tblPr/>
      <w:tcPr>
        <w:tcBorders>
          <w:top w:val="double" w:sz="2" w:space="0" w:color="9F9F9F" w:themeColor="accent3" w:themeTint="99"/>
        </w:tcBorders>
      </w:tcPr>
    </w:tblStylePr>
    <w:tblStylePr w:type="firstCol">
      <w:rPr>
        <w:b/>
        <w:bCs/>
      </w:rPr>
    </w:tblStylePr>
    <w:tblStylePr w:type="lastCol">
      <w:rPr>
        <w:b/>
        <w:bCs/>
      </w:rPr>
    </w:tblStylePr>
  </w:style>
  <w:style w:type="table" w:styleId="KlavuzTablo1Ak-Vurgu4">
    <w:name w:val="Grid Table 1 Light Accent 4"/>
    <w:basedOn w:val="NormalTablo"/>
    <w:uiPriority w:val="46"/>
    <w:semiHidden/>
    <w:rsid w:val="00540D5A"/>
    <w:tblPr>
      <w:tblStyleRowBandSize w:val="1"/>
      <w:tblStyleColBandSize w:val="1"/>
      <w:tblBorders>
        <w:top w:val="single" w:sz="4" w:space="0" w:color="D5D5D5" w:themeColor="accent4" w:themeTint="66"/>
        <w:left w:val="single" w:sz="4" w:space="0" w:color="D5D5D5" w:themeColor="accent4" w:themeTint="66"/>
        <w:bottom w:val="single" w:sz="4" w:space="0" w:color="D5D5D5" w:themeColor="accent4" w:themeTint="66"/>
        <w:right w:val="single" w:sz="4" w:space="0" w:color="D5D5D5" w:themeColor="accent4" w:themeTint="66"/>
        <w:insideH w:val="single" w:sz="4" w:space="0" w:color="D5D5D5" w:themeColor="accent4" w:themeTint="66"/>
        <w:insideV w:val="single" w:sz="4" w:space="0" w:color="D5D5D5" w:themeColor="accent4" w:themeTint="66"/>
      </w:tblBorders>
    </w:tblPr>
    <w:tblStylePr w:type="firstRow">
      <w:rPr>
        <w:b/>
        <w:bCs/>
      </w:rPr>
      <w:tblPr/>
      <w:tcPr>
        <w:tcBorders>
          <w:bottom w:val="single" w:sz="12" w:space="0" w:color="C0C0C0" w:themeColor="accent4" w:themeTint="99"/>
        </w:tcBorders>
      </w:tcPr>
    </w:tblStylePr>
    <w:tblStylePr w:type="lastRow">
      <w:rPr>
        <w:b/>
        <w:bCs/>
      </w:rPr>
      <w:tblPr/>
      <w:tcPr>
        <w:tcBorders>
          <w:top w:val="double" w:sz="2" w:space="0" w:color="C0C0C0" w:themeColor="accent4" w:themeTint="99"/>
        </w:tcBorders>
      </w:tcPr>
    </w:tblStylePr>
    <w:tblStylePr w:type="firstCol">
      <w:rPr>
        <w:b/>
        <w:bCs/>
      </w:rPr>
    </w:tblStylePr>
    <w:tblStylePr w:type="lastCol">
      <w:rPr>
        <w:b/>
        <w:bCs/>
      </w:rPr>
    </w:tblStylePr>
  </w:style>
  <w:style w:type="table" w:styleId="KlavuzTablo1Ak-Vurgu5">
    <w:name w:val="Grid Table 1 Light Accent 5"/>
    <w:basedOn w:val="NormalTablo"/>
    <w:uiPriority w:val="46"/>
    <w:semiHidden/>
    <w:rsid w:val="00540D5A"/>
    <w:tblPr>
      <w:tblStyleRowBandSize w:val="1"/>
      <w:tblStyleColBandSize w:val="1"/>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styleId="KlavuzTablo1Ak-Vurgu6">
    <w:name w:val="Grid Table 1 Light Accent 6"/>
    <w:basedOn w:val="NormalTablo"/>
    <w:uiPriority w:val="46"/>
    <w:semiHidden/>
    <w:rsid w:val="00540D5A"/>
    <w:tblPr>
      <w:tblStyleRowBandSize w:val="1"/>
      <w:tblStyleColBandSize w:val="1"/>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styleId="KlavuzTablo2">
    <w:name w:val="Grid Table 2"/>
    <w:basedOn w:val="NormalTablo"/>
    <w:uiPriority w:val="47"/>
    <w:semiHidden/>
    <w:rsid w:val="00540D5A"/>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0072BC" w:themeFill="background1"/>
      </w:tcPr>
    </w:tblStylePr>
    <w:tblStylePr w:type="lastRow">
      <w:rPr>
        <w:b/>
        <w:bCs/>
      </w:rPr>
      <w:tblPr/>
      <w:tcPr>
        <w:tcBorders>
          <w:top w:val="double" w:sz="2" w:space="0" w:color="666666" w:themeColor="text1"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KlavuzTablo2-Vurgu1">
    <w:name w:val="Grid Table 2 Accent 1"/>
    <w:basedOn w:val="NormalTablo"/>
    <w:uiPriority w:val="47"/>
    <w:semiHidden/>
    <w:rsid w:val="00540D5A"/>
    <w:tblPr>
      <w:tblStyleRowBandSize w:val="1"/>
      <w:tblStyleColBandSize w:val="1"/>
      <w:tblBorders>
        <w:top w:val="single" w:sz="2" w:space="0" w:color="3DB2FF" w:themeColor="accent1" w:themeTint="99"/>
        <w:bottom w:val="single" w:sz="2" w:space="0" w:color="3DB2FF" w:themeColor="accent1" w:themeTint="99"/>
        <w:insideH w:val="single" w:sz="2" w:space="0" w:color="3DB2FF" w:themeColor="accent1" w:themeTint="99"/>
        <w:insideV w:val="single" w:sz="2" w:space="0" w:color="3DB2FF" w:themeColor="accent1" w:themeTint="99"/>
      </w:tblBorders>
    </w:tblPr>
    <w:tblStylePr w:type="firstRow">
      <w:rPr>
        <w:b/>
        <w:bCs/>
      </w:rPr>
      <w:tblPr/>
      <w:tcPr>
        <w:tcBorders>
          <w:top w:val="nil"/>
          <w:bottom w:val="single" w:sz="12" w:space="0" w:color="3DB2FF" w:themeColor="accent1" w:themeTint="99"/>
          <w:insideH w:val="nil"/>
          <w:insideV w:val="nil"/>
        </w:tcBorders>
        <w:shd w:val="clear" w:color="auto" w:fill="0072BC" w:themeFill="background1"/>
      </w:tcPr>
    </w:tblStylePr>
    <w:tblStylePr w:type="lastRow">
      <w:rPr>
        <w:b/>
        <w:bCs/>
      </w:rPr>
      <w:tblPr/>
      <w:tcPr>
        <w:tcBorders>
          <w:top w:val="double" w:sz="2" w:space="0" w:color="3DB2FF" w:themeColor="accent1"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KlavuzTablo2-Vurgu2">
    <w:name w:val="Grid Table 2 Accent 2"/>
    <w:basedOn w:val="NormalTablo"/>
    <w:uiPriority w:val="47"/>
    <w:semiHidden/>
    <w:rsid w:val="00540D5A"/>
    <w:tblPr>
      <w:tblStyleRowBandSize w:val="1"/>
      <w:tblStyleColBandSize w:val="1"/>
      <w:tblBorders>
        <w:top w:val="single" w:sz="2" w:space="0" w:color="FF4040" w:themeColor="accent2" w:themeTint="99"/>
        <w:bottom w:val="single" w:sz="2" w:space="0" w:color="FF4040" w:themeColor="accent2" w:themeTint="99"/>
        <w:insideH w:val="single" w:sz="2" w:space="0" w:color="FF4040" w:themeColor="accent2" w:themeTint="99"/>
        <w:insideV w:val="single" w:sz="2" w:space="0" w:color="FF4040" w:themeColor="accent2" w:themeTint="99"/>
      </w:tblBorders>
    </w:tblPr>
    <w:tblStylePr w:type="firstRow">
      <w:rPr>
        <w:b/>
        <w:bCs/>
      </w:rPr>
      <w:tblPr/>
      <w:tcPr>
        <w:tcBorders>
          <w:top w:val="nil"/>
          <w:bottom w:val="single" w:sz="12" w:space="0" w:color="FF4040" w:themeColor="accent2" w:themeTint="99"/>
          <w:insideH w:val="nil"/>
          <w:insideV w:val="nil"/>
        </w:tcBorders>
        <w:shd w:val="clear" w:color="auto" w:fill="0072BC" w:themeFill="background1"/>
      </w:tcPr>
    </w:tblStylePr>
    <w:tblStylePr w:type="lastRow">
      <w:rPr>
        <w:b/>
        <w:bCs/>
      </w:rPr>
      <w:tblPr/>
      <w:tcPr>
        <w:tcBorders>
          <w:top w:val="double" w:sz="2" w:space="0" w:color="FF4040" w:themeColor="accent2"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KlavuzTablo2-Vurgu3">
    <w:name w:val="Grid Table 2 Accent 3"/>
    <w:basedOn w:val="NormalTablo"/>
    <w:uiPriority w:val="47"/>
    <w:semiHidden/>
    <w:rsid w:val="00540D5A"/>
    <w:tblPr>
      <w:tblStyleRowBandSize w:val="1"/>
      <w:tblStyleColBandSize w:val="1"/>
      <w:tblBorders>
        <w:top w:val="single" w:sz="2" w:space="0" w:color="9F9F9F" w:themeColor="accent3" w:themeTint="99"/>
        <w:bottom w:val="single" w:sz="2" w:space="0" w:color="9F9F9F" w:themeColor="accent3" w:themeTint="99"/>
        <w:insideH w:val="single" w:sz="2" w:space="0" w:color="9F9F9F" w:themeColor="accent3" w:themeTint="99"/>
        <w:insideV w:val="single" w:sz="2" w:space="0" w:color="9F9F9F" w:themeColor="accent3" w:themeTint="99"/>
      </w:tblBorders>
    </w:tblPr>
    <w:tblStylePr w:type="firstRow">
      <w:rPr>
        <w:b/>
        <w:bCs/>
      </w:rPr>
      <w:tblPr/>
      <w:tcPr>
        <w:tcBorders>
          <w:top w:val="nil"/>
          <w:bottom w:val="single" w:sz="12" w:space="0" w:color="9F9F9F" w:themeColor="accent3" w:themeTint="99"/>
          <w:insideH w:val="nil"/>
          <w:insideV w:val="nil"/>
        </w:tcBorders>
        <w:shd w:val="clear" w:color="auto" w:fill="0072BC" w:themeFill="background1"/>
      </w:tcPr>
    </w:tblStylePr>
    <w:tblStylePr w:type="lastRow">
      <w:rPr>
        <w:b/>
        <w:bCs/>
      </w:rPr>
      <w:tblPr/>
      <w:tcPr>
        <w:tcBorders>
          <w:top w:val="double" w:sz="2" w:space="0" w:color="9F9F9F" w:themeColor="accent3"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KlavuzTablo2-Vurgu4">
    <w:name w:val="Grid Table 2 Accent 4"/>
    <w:basedOn w:val="NormalTablo"/>
    <w:uiPriority w:val="47"/>
    <w:semiHidden/>
    <w:rsid w:val="00540D5A"/>
    <w:tblPr>
      <w:tblStyleRowBandSize w:val="1"/>
      <w:tblStyleColBandSize w:val="1"/>
      <w:tblBorders>
        <w:top w:val="single" w:sz="2" w:space="0" w:color="C0C0C0" w:themeColor="accent4" w:themeTint="99"/>
        <w:bottom w:val="single" w:sz="2" w:space="0" w:color="C0C0C0" w:themeColor="accent4" w:themeTint="99"/>
        <w:insideH w:val="single" w:sz="2" w:space="0" w:color="C0C0C0" w:themeColor="accent4" w:themeTint="99"/>
        <w:insideV w:val="single" w:sz="2" w:space="0" w:color="C0C0C0" w:themeColor="accent4" w:themeTint="99"/>
      </w:tblBorders>
    </w:tblPr>
    <w:tblStylePr w:type="firstRow">
      <w:rPr>
        <w:b/>
        <w:bCs/>
      </w:rPr>
      <w:tblPr/>
      <w:tcPr>
        <w:tcBorders>
          <w:top w:val="nil"/>
          <w:bottom w:val="single" w:sz="12" w:space="0" w:color="C0C0C0" w:themeColor="accent4" w:themeTint="99"/>
          <w:insideH w:val="nil"/>
          <w:insideV w:val="nil"/>
        </w:tcBorders>
        <w:shd w:val="clear" w:color="auto" w:fill="0072BC" w:themeFill="background1"/>
      </w:tcPr>
    </w:tblStylePr>
    <w:tblStylePr w:type="lastRow">
      <w:rPr>
        <w:b/>
        <w:bCs/>
      </w:rPr>
      <w:tblPr/>
      <w:tcPr>
        <w:tcBorders>
          <w:top w:val="double" w:sz="2" w:space="0" w:color="C0C0C0" w:themeColor="accent4"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KlavuzTablo2-Vurgu5">
    <w:name w:val="Grid Table 2 Accent 5"/>
    <w:basedOn w:val="NormalTablo"/>
    <w:uiPriority w:val="47"/>
    <w:semiHidden/>
    <w:rsid w:val="00540D5A"/>
    <w:tblPr>
      <w:tblStyleRowBandSize w:val="1"/>
      <w:tblStyleColBandSize w:val="1"/>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0072BC" w:themeFill="background1"/>
      </w:tcPr>
    </w:tblStylePr>
    <w:tblStylePr w:type="lastRow">
      <w:rPr>
        <w:b/>
        <w:bCs/>
      </w:rPr>
      <w:tblPr/>
      <w:tcPr>
        <w:tcBorders>
          <w:top w:val="double" w:sz="2" w:space="0" w:color="9F9F9F" w:themeColor="accent5"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KlavuzTablo2-Vurgu6">
    <w:name w:val="Grid Table 2 Accent 6"/>
    <w:basedOn w:val="NormalTablo"/>
    <w:uiPriority w:val="47"/>
    <w:semiHidden/>
    <w:rsid w:val="00540D5A"/>
    <w:tblPr>
      <w:tblStyleRowBandSize w:val="1"/>
      <w:tblStyleColBandSize w:val="1"/>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0072BC" w:themeFill="background1"/>
      </w:tcPr>
    </w:tblStylePr>
    <w:tblStylePr w:type="lastRow">
      <w:rPr>
        <w:b/>
        <w:bCs/>
      </w:rPr>
      <w:tblPr/>
      <w:tcPr>
        <w:tcBorders>
          <w:top w:val="double" w:sz="2" w:space="0" w:color="949494" w:themeColor="accent6"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KlavuzTablo3">
    <w:name w:val="Grid Table 3"/>
    <w:basedOn w:val="NormalTablo"/>
    <w:uiPriority w:val="48"/>
    <w:semiHidden/>
    <w:rsid w:val="00540D5A"/>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KlavuzTablo3-Vurgu1">
    <w:name w:val="Grid Table 3 Accent 1"/>
    <w:basedOn w:val="NormalTablo"/>
    <w:uiPriority w:val="48"/>
    <w:semiHidden/>
    <w:rsid w:val="00540D5A"/>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bottom w:val="single" w:sz="4" w:space="0" w:color="3DB2FF" w:themeColor="accent1" w:themeTint="99"/>
        </w:tcBorders>
      </w:tcPr>
    </w:tblStylePr>
    <w:tblStylePr w:type="nwCell">
      <w:tblPr/>
      <w:tcPr>
        <w:tcBorders>
          <w:bottom w:val="single" w:sz="4" w:space="0" w:color="3DB2FF" w:themeColor="accent1" w:themeTint="99"/>
        </w:tcBorders>
      </w:tcPr>
    </w:tblStylePr>
    <w:tblStylePr w:type="seCell">
      <w:tblPr/>
      <w:tcPr>
        <w:tcBorders>
          <w:top w:val="single" w:sz="4" w:space="0" w:color="3DB2FF" w:themeColor="accent1" w:themeTint="99"/>
        </w:tcBorders>
      </w:tcPr>
    </w:tblStylePr>
    <w:tblStylePr w:type="swCell">
      <w:tblPr/>
      <w:tcPr>
        <w:tcBorders>
          <w:top w:val="single" w:sz="4" w:space="0" w:color="3DB2FF" w:themeColor="accent1" w:themeTint="99"/>
        </w:tcBorders>
      </w:tcPr>
    </w:tblStylePr>
  </w:style>
  <w:style w:type="table" w:styleId="KlavuzTablo3-Vurgu2">
    <w:name w:val="Grid Table 3 Accent 2"/>
    <w:basedOn w:val="NormalTablo"/>
    <w:uiPriority w:val="48"/>
    <w:semiHidden/>
    <w:rsid w:val="00540D5A"/>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bottom w:val="single" w:sz="4" w:space="0" w:color="FF4040" w:themeColor="accent2" w:themeTint="99"/>
        </w:tcBorders>
      </w:tcPr>
    </w:tblStylePr>
    <w:tblStylePr w:type="nwCell">
      <w:tblPr/>
      <w:tcPr>
        <w:tcBorders>
          <w:bottom w:val="single" w:sz="4" w:space="0" w:color="FF4040" w:themeColor="accent2" w:themeTint="99"/>
        </w:tcBorders>
      </w:tcPr>
    </w:tblStylePr>
    <w:tblStylePr w:type="seCell">
      <w:tblPr/>
      <w:tcPr>
        <w:tcBorders>
          <w:top w:val="single" w:sz="4" w:space="0" w:color="FF4040" w:themeColor="accent2" w:themeTint="99"/>
        </w:tcBorders>
      </w:tcPr>
    </w:tblStylePr>
    <w:tblStylePr w:type="swCell">
      <w:tblPr/>
      <w:tcPr>
        <w:tcBorders>
          <w:top w:val="single" w:sz="4" w:space="0" w:color="FF4040" w:themeColor="accent2" w:themeTint="99"/>
        </w:tcBorders>
      </w:tcPr>
    </w:tblStylePr>
  </w:style>
  <w:style w:type="table" w:styleId="KlavuzTablo3-Vurgu3">
    <w:name w:val="Grid Table 3 Accent 3"/>
    <w:basedOn w:val="NormalTablo"/>
    <w:uiPriority w:val="48"/>
    <w:semiHidden/>
    <w:rsid w:val="00540D5A"/>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bottom w:val="single" w:sz="4" w:space="0" w:color="9F9F9F" w:themeColor="accent3" w:themeTint="99"/>
        </w:tcBorders>
      </w:tcPr>
    </w:tblStylePr>
    <w:tblStylePr w:type="nwCell">
      <w:tblPr/>
      <w:tcPr>
        <w:tcBorders>
          <w:bottom w:val="single" w:sz="4" w:space="0" w:color="9F9F9F" w:themeColor="accent3" w:themeTint="99"/>
        </w:tcBorders>
      </w:tcPr>
    </w:tblStylePr>
    <w:tblStylePr w:type="seCell">
      <w:tblPr/>
      <w:tcPr>
        <w:tcBorders>
          <w:top w:val="single" w:sz="4" w:space="0" w:color="9F9F9F" w:themeColor="accent3" w:themeTint="99"/>
        </w:tcBorders>
      </w:tcPr>
    </w:tblStylePr>
    <w:tblStylePr w:type="swCell">
      <w:tblPr/>
      <w:tcPr>
        <w:tcBorders>
          <w:top w:val="single" w:sz="4" w:space="0" w:color="9F9F9F" w:themeColor="accent3" w:themeTint="99"/>
        </w:tcBorders>
      </w:tcPr>
    </w:tblStylePr>
  </w:style>
  <w:style w:type="table" w:styleId="KlavuzTablo3-Vurgu4">
    <w:name w:val="Grid Table 3 Accent 4"/>
    <w:basedOn w:val="NormalTablo"/>
    <w:uiPriority w:val="48"/>
    <w:semiHidden/>
    <w:rsid w:val="00540D5A"/>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bottom w:val="single" w:sz="4" w:space="0" w:color="C0C0C0" w:themeColor="accent4" w:themeTint="99"/>
        </w:tcBorders>
      </w:tcPr>
    </w:tblStylePr>
    <w:tblStylePr w:type="nwCell">
      <w:tblPr/>
      <w:tcPr>
        <w:tcBorders>
          <w:bottom w:val="single" w:sz="4" w:space="0" w:color="C0C0C0" w:themeColor="accent4" w:themeTint="99"/>
        </w:tcBorders>
      </w:tcPr>
    </w:tblStylePr>
    <w:tblStylePr w:type="seCell">
      <w:tblPr/>
      <w:tcPr>
        <w:tcBorders>
          <w:top w:val="single" w:sz="4" w:space="0" w:color="C0C0C0" w:themeColor="accent4" w:themeTint="99"/>
        </w:tcBorders>
      </w:tcPr>
    </w:tblStylePr>
    <w:tblStylePr w:type="swCell">
      <w:tblPr/>
      <w:tcPr>
        <w:tcBorders>
          <w:top w:val="single" w:sz="4" w:space="0" w:color="C0C0C0" w:themeColor="accent4" w:themeTint="99"/>
        </w:tcBorders>
      </w:tcPr>
    </w:tblStylePr>
  </w:style>
  <w:style w:type="table" w:styleId="KlavuzTablo3-Vurgu5">
    <w:name w:val="Grid Table 3 Accent 5"/>
    <w:basedOn w:val="NormalTablo"/>
    <w:uiPriority w:val="48"/>
    <w:semiHidden/>
    <w:rsid w:val="00540D5A"/>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KlavuzTablo3-Vurgu6">
    <w:name w:val="Grid Table 3 Accent 6"/>
    <w:basedOn w:val="NormalTablo"/>
    <w:uiPriority w:val="48"/>
    <w:semiHidden/>
    <w:rsid w:val="00540D5A"/>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styleId="KlavuzuTablo4">
    <w:name w:val="Grid Table 4"/>
    <w:basedOn w:val="NormalTablo"/>
    <w:uiPriority w:val="49"/>
    <w:semiHidden/>
    <w:rsid w:val="00540D5A"/>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0072BC"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KlavuzuTablo4-Vurgu1">
    <w:name w:val="Grid Table 4 Accent 1"/>
    <w:basedOn w:val="NormalTablo"/>
    <w:uiPriority w:val="49"/>
    <w:semiHidden/>
    <w:rsid w:val="00540D5A"/>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color w:val="0072BC" w:themeColor="background1"/>
      </w:rPr>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nil"/>
          <w:insideV w:val="nil"/>
        </w:tcBorders>
        <w:shd w:val="clear" w:color="auto" w:fill="0072BC" w:themeFill="accent1"/>
      </w:tcPr>
    </w:tblStylePr>
    <w:tblStylePr w:type="lastRow">
      <w:rPr>
        <w:b/>
        <w:bCs/>
      </w:rPr>
      <w:tblPr/>
      <w:tcPr>
        <w:tcBorders>
          <w:top w:val="double" w:sz="4" w:space="0" w:color="0072BC" w:themeColor="accent1"/>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KlavuzuTablo4-Vurgu2">
    <w:name w:val="Grid Table 4 Accent 2"/>
    <w:basedOn w:val="NormalTablo"/>
    <w:uiPriority w:val="49"/>
    <w:semiHidden/>
    <w:rsid w:val="00540D5A"/>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color w:val="0072BC" w:themeColor="background1"/>
      </w:rPr>
      <w:tblPr/>
      <w:tcPr>
        <w:tcBorders>
          <w:top w:val="single" w:sz="4" w:space="0" w:color="C00000" w:themeColor="accent2"/>
          <w:left w:val="single" w:sz="4" w:space="0" w:color="C00000" w:themeColor="accent2"/>
          <w:bottom w:val="single" w:sz="4" w:space="0" w:color="C00000" w:themeColor="accent2"/>
          <w:right w:val="single" w:sz="4" w:space="0" w:color="C00000" w:themeColor="accent2"/>
          <w:insideH w:val="nil"/>
          <w:insideV w:val="nil"/>
        </w:tcBorders>
        <w:shd w:val="clear" w:color="auto" w:fill="C00000" w:themeFill="accent2"/>
      </w:tcPr>
    </w:tblStylePr>
    <w:tblStylePr w:type="lastRow">
      <w:rPr>
        <w:b/>
        <w:bCs/>
      </w:rPr>
      <w:tblPr/>
      <w:tcPr>
        <w:tcBorders>
          <w:top w:val="double" w:sz="4" w:space="0" w:color="C00000" w:themeColor="accent2"/>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KlavuzuTablo4-Vurgu3">
    <w:name w:val="Grid Table 4 Accent 3"/>
    <w:basedOn w:val="NormalTablo"/>
    <w:uiPriority w:val="49"/>
    <w:semiHidden/>
    <w:rsid w:val="00540D5A"/>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color w:val="0072BC" w:themeColor="background1"/>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cBorders>
        <w:shd w:val="clear" w:color="auto" w:fill="5F5F5F" w:themeFill="accent3"/>
      </w:tcPr>
    </w:tblStylePr>
    <w:tblStylePr w:type="lastRow">
      <w:rPr>
        <w:b/>
        <w:bCs/>
      </w:rPr>
      <w:tblPr/>
      <w:tcPr>
        <w:tcBorders>
          <w:top w:val="double" w:sz="4" w:space="0" w:color="5F5F5F" w:themeColor="accent3"/>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KlavuzuTablo4-Vurgu4">
    <w:name w:val="Grid Table 4 Accent 4"/>
    <w:basedOn w:val="NormalTablo"/>
    <w:uiPriority w:val="49"/>
    <w:semiHidden/>
    <w:rsid w:val="00540D5A"/>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color w:val="0072BC" w:themeColor="background1"/>
      </w:rPr>
      <w:tblPr/>
      <w:tcPr>
        <w:tcBorders>
          <w:top w:val="single" w:sz="4" w:space="0" w:color="969696" w:themeColor="accent4"/>
          <w:left w:val="single" w:sz="4" w:space="0" w:color="969696" w:themeColor="accent4"/>
          <w:bottom w:val="single" w:sz="4" w:space="0" w:color="969696" w:themeColor="accent4"/>
          <w:right w:val="single" w:sz="4" w:space="0" w:color="969696" w:themeColor="accent4"/>
          <w:insideH w:val="nil"/>
          <w:insideV w:val="nil"/>
        </w:tcBorders>
        <w:shd w:val="clear" w:color="auto" w:fill="969696" w:themeFill="accent4"/>
      </w:tcPr>
    </w:tblStylePr>
    <w:tblStylePr w:type="lastRow">
      <w:rPr>
        <w:b/>
        <w:bCs/>
      </w:rPr>
      <w:tblPr/>
      <w:tcPr>
        <w:tcBorders>
          <w:top w:val="double" w:sz="4" w:space="0" w:color="969696" w:themeColor="accent4"/>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KlavuzuTablo4-Vurgu5">
    <w:name w:val="Grid Table 4 Accent 5"/>
    <w:basedOn w:val="NormalTablo"/>
    <w:uiPriority w:val="49"/>
    <w:semiHidden/>
    <w:rsid w:val="00540D5A"/>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0072BC"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KlavuzuTablo4-Vurgu6">
    <w:name w:val="Grid Table 4 Accent 6"/>
    <w:basedOn w:val="NormalTablo"/>
    <w:uiPriority w:val="49"/>
    <w:semiHidden/>
    <w:rsid w:val="00540D5A"/>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0072BC"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KlavuzTablo5Koyu">
    <w:name w:val="Grid Table 5 Dark"/>
    <w:basedOn w:val="NormalTablo"/>
    <w:uiPriority w:val="50"/>
    <w:semiHidden/>
    <w:rsid w:val="00540D5A"/>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CCCCCC" w:themeFill="text1"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000000" w:themeFill="text1"/>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000000" w:themeFill="text1"/>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000000" w:themeFill="text1"/>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KlavuzTablo5Koyu-Vurgu1">
    <w:name w:val="Grid Table 5 Dark Accent 1"/>
    <w:basedOn w:val="NormalTablo"/>
    <w:uiPriority w:val="50"/>
    <w:semiHidden/>
    <w:rsid w:val="00540D5A"/>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BEE5FF" w:themeFill="accent1"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0072BC" w:themeFill="accent1"/>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0072BC" w:themeFill="accent1"/>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0072BC" w:themeFill="accent1"/>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0072BC" w:themeFill="accent1"/>
      </w:tcPr>
    </w:tblStylePr>
    <w:tblStylePr w:type="band1Vert">
      <w:tblPr/>
      <w:tcPr>
        <w:shd w:val="clear" w:color="auto" w:fill="7ECBFF" w:themeFill="accent1" w:themeFillTint="66"/>
      </w:tcPr>
    </w:tblStylePr>
    <w:tblStylePr w:type="band1Horz">
      <w:tblPr/>
      <w:tcPr>
        <w:shd w:val="clear" w:color="auto" w:fill="7ECBFF" w:themeFill="accent1" w:themeFillTint="66"/>
      </w:tcPr>
    </w:tblStylePr>
  </w:style>
  <w:style w:type="table" w:styleId="KlavuzTablo5Koyu-Vurgu2">
    <w:name w:val="Grid Table 5 Dark Accent 2"/>
    <w:basedOn w:val="NormalTablo"/>
    <w:uiPriority w:val="50"/>
    <w:semiHidden/>
    <w:rsid w:val="00540D5A"/>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FFBFBF" w:themeFill="accent2"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C00000" w:themeFill="accent2"/>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C00000" w:themeFill="accent2"/>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C00000" w:themeFill="accent2"/>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C00000" w:themeFill="accent2"/>
      </w:tcPr>
    </w:tblStylePr>
    <w:tblStylePr w:type="band1Vert">
      <w:tblPr/>
      <w:tcPr>
        <w:shd w:val="clear" w:color="auto" w:fill="FF7F7F" w:themeFill="accent2" w:themeFillTint="66"/>
      </w:tcPr>
    </w:tblStylePr>
    <w:tblStylePr w:type="band1Horz">
      <w:tblPr/>
      <w:tcPr>
        <w:shd w:val="clear" w:color="auto" w:fill="FF7F7F" w:themeFill="accent2" w:themeFillTint="66"/>
      </w:tcPr>
    </w:tblStylePr>
  </w:style>
  <w:style w:type="table" w:styleId="KlavuzTablo5Koyu-Vurgu3">
    <w:name w:val="Grid Table 5 Dark Accent 3"/>
    <w:basedOn w:val="NormalTablo"/>
    <w:uiPriority w:val="50"/>
    <w:semiHidden/>
    <w:rsid w:val="00540D5A"/>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FDFDF" w:themeFill="accent3"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5F5F5F" w:themeFill="accent3"/>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5F5F5F" w:themeFill="accent3"/>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5F5F5F" w:themeFill="accent3"/>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5F5F5F" w:themeFill="accent3"/>
      </w:tcPr>
    </w:tblStylePr>
    <w:tblStylePr w:type="band1Vert">
      <w:tblPr/>
      <w:tcPr>
        <w:shd w:val="clear" w:color="auto" w:fill="BFBFBF" w:themeFill="accent3" w:themeFillTint="66"/>
      </w:tcPr>
    </w:tblStylePr>
    <w:tblStylePr w:type="band1Horz">
      <w:tblPr/>
      <w:tcPr>
        <w:shd w:val="clear" w:color="auto" w:fill="BFBFBF" w:themeFill="accent3" w:themeFillTint="66"/>
      </w:tcPr>
    </w:tblStylePr>
  </w:style>
  <w:style w:type="table" w:styleId="KlavuzTablo5Koyu-Vurgu4">
    <w:name w:val="Grid Table 5 Dark Accent 4"/>
    <w:basedOn w:val="NormalTablo"/>
    <w:uiPriority w:val="50"/>
    <w:semiHidden/>
    <w:rsid w:val="00540D5A"/>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EAEAEA" w:themeFill="accent4"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969696" w:themeFill="accent4"/>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969696" w:themeFill="accent4"/>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969696" w:themeFill="accent4"/>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969696" w:themeFill="accent4"/>
      </w:tcPr>
    </w:tblStylePr>
    <w:tblStylePr w:type="band1Vert">
      <w:tblPr/>
      <w:tcPr>
        <w:shd w:val="clear" w:color="auto" w:fill="D5D5D5" w:themeFill="accent4" w:themeFillTint="66"/>
      </w:tcPr>
    </w:tblStylePr>
    <w:tblStylePr w:type="band1Horz">
      <w:tblPr/>
      <w:tcPr>
        <w:shd w:val="clear" w:color="auto" w:fill="D5D5D5" w:themeFill="accent4" w:themeFillTint="66"/>
      </w:tcPr>
    </w:tblStylePr>
  </w:style>
  <w:style w:type="table" w:styleId="KlavuzTablo5Koyu-Vurgu5">
    <w:name w:val="Grid Table 5 Dark Accent 5"/>
    <w:basedOn w:val="NormalTablo"/>
    <w:uiPriority w:val="50"/>
    <w:semiHidden/>
    <w:rsid w:val="00540D5A"/>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FDFDF" w:themeFill="accent5"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5F5F5F" w:themeFill="accent5"/>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5F5F5F" w:themeFill="accent5"/>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5F5F5F" w:themeFill="accent5"/>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styleId="KlavuzTablo5Koyu-Vurgu6">
    <w:name w:val="Grid Table 5 Dark Accent 6"/>
    <w:basedOn w:val="NormalTablo"/>
    <w:uiPriority w:val="50"/>
    <w:semiHidden/>
    <w:rsid w:val="00540D5A"/>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BDBDB" w:themeFill="accent6"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4D4D4D" w:themeFill="accent6"/>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4D4D4D" w:themeFill="accent6"/>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4D4D4D" w:themeFill="accent6"/>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styleId="KlavuzTablo6Renkli">
    <w:name w:val="Grid Table 6 Colorful"/>
    <w:basedOn w:val="NormalTablo"/>
    <w:uiPriority w:val="51"/>
    <w:semiHidden/>
    <w:rsid w:val="00540D5A"/>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KlavuzTablo6Renkli-Vurgu1">
    <w:name w:val="Grid Table 6 Colorful Accent 1"/>
    <w:basedOn w:val="NormalTablo"/>
    <w:uiPriority w:val="51"/>
    <w:semiHidden/>
    <w:rsid w:val="00540D5A"/>
    <w:rPr>
      <w:color w:val="00548C" w:themeColor="accent1" w:themeShade="BF"/>
    </w:rPr>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bottom w:val="single" w:sz="12" w:space="0" w:color="3DB2FF" w:themeColor="accent1" w:themeTint="99"/>
        </w:tcBorders>
      </w:tcPr>
    </w:tblStylePr>
    <w:tblStylePr w:type="lastRow">
      <w:rPr>
        <w:b/>
        <w:bCs/>
      </w:rPr>
      <w:tblPr/>
      <w:tcPr>
        <w:tcBorders>
          <w:top w:val="doub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KlavuzTablo6-Renkli-Vurgu2">
    <w:name w:val="Grid Table 6 Colorful Accent 2"/>
    <w:basedOn w:val="NormalTablo"/>
    <w:uiPriority w:val="51"/>
    <w:semiHidden/>
    <w:rsid w:val="00540D5A"/>
    <w:rPr>
      <w:color w:val="8F0000" w:themeColor="accent2" w:themeShade="BF"/>
    </w:rPr>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bottom w:val="single" w:sz="12" w:space="0" w:color="FF4040" w:themeColor="accent2" w:themeTint="99"/>
        </w:tcBorders>
      </w:tcPr>
    </w:tblStylePr>
    <w:tblStylePr w:type="lastRow">
      <w:rPr>
        <w:b/>
        <w:bCs/>
      </w:rPr>
      <w:tblPr/>
      <w:tcPr>
        <w:tcBorders>
          <w:top w:val="doub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KlavuzTablo6-Renkli-Vurgu3">
    <w:name w:val="Grid Table 6 Colorful Accent 3"/>
    <w:basedOn w:val="NormalTablo"/>
    <w:uiPriority w:val="51"/>
    <w:semiHidden/>
    <w:rsid w:val="00540D5A"/>
    <w:rPr>
      <w:color w:val="474747" w:themeColor="accent3" w:themeShade="BF"/>
    </w:rPr>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bottom w:val="single" w:sz="12" w:space="0" w:color="9F9F9F" w:themeColor="accent3" w:themeTint="99"/>
        </w:tcBorders>
      </w:tcPr>
    </w:tblStylePr>
    <w:tblStylePr w:type="lastRow">
      <w:rPr>
        <w:b/>
        <w:bCs/>
      </w:rPr>
      <w:tblPr/>
      <w:tcPr>
        <w:tcBorders>
          <w:top w:val="doub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KlavuzTablo6-Renkli-Vurgu4">
    <w:name w:val="Grid Table 6 Colorful Accent 4"/>
    <w:basedOn w:val="NormalTablo"/>
    <w:uiPriority w:val="51"/>
    <w:semiHidden/>
    <w:rsid w:val="00540D5A"/>
    <w:rPr>
      <w:color w:val="707070" w:themeColor="accent4" w:themeShade="BF"/>
    </w:rPr>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bottom w:val="single" w:sz="12" w:space="0" w:color="C0C0C0" w:themeColor="accent4" w:themeTint="99"/>
        </w:tcBorders>
      </w:tcPr>
    </w:tblStylePr>
    <w:tblStylePr w:type="lastRow">
      <w:rPr>
        <w:b/>
        <w:bCs/>
      </w:rPr>
      <w:tblPr/>
      <w:tcPr>
        <w:tcBorders>
          <w:top w:val="doub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KlavuzTablo6-Renkli-Vurgu5">
    <w:name w:val="Grid Table 6 Colorful Accent 5"/>
    <w:basedOn w:val="NormalTablo"/>
    <w:uiPriority w:val="51"/>
    <w:semiHidden/>
    <w:rsid w:val="00540D5A"/>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KlavuzTablo6Renkli-Vurgu6">
    <w:name w:val="Grid Table 6 Colorful Accent 6"/>
    <w:basedOn w:val="NormalTablo"/>
    <w:uiPriority w:val="51"/>
    <w:semiHidden/>
    <w:rsid w:val="00540D5A"/>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KlavuzTablo7Renkli">
    <w:name w:val="Grid Table 7 Colorful"/>
    <w:basedOn w:val="NormalTablo"/>
    <w:uiPriority w:val="52"/>
    <w:semiHidden/>
    <w:rsid w:val="00540D5A"/>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KlavuzTablo7Renkli-Vurgu1">
    <w:name w:val="Grid Table 7 Colorful Accent 1"/>
    <w:basedOn w:val="NormalTablo"/>
    <w:uiPriority w:val="52"/>
    <w:semiHidden/>
    <w:rsid w:val="00540D5A"/>
    <w:rPr>
      <w:color w:val="00548C" w:themeColor="accent1" w:themeShade="BF"/>
    </w:rPr>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bottom w:val="single" w:sz="4" w:space="0" w:color="3DB2FF" w:themeColor="accent1" w:themeTint="99"/>
        </w:tcBorders>
      </w:tcPr>
    </w:tblStylePr>
    <w:tblStylePr w:type="nwCell">
      <w:tblPr/>
      <w:tcPr>
        <w:tcBorders>
          <w:bottom w:val="single" w:sz="4" w:space="0" w:color="3DB2FF" w:themeColor="accent1" w:themeTint="99"/>
        </w:tcBorders>
      </w:tcPr>
    </w:tblStylePr>
    <w:tblStylePr w:type="seCell">
      <w:tblPr/>
      <w:tcPr>
        <w:tcBorders>
          <w:top w:val="single" w:sz="4" w:space="0" w:color="3DB2FF" w:themeColor="accent1" w:themeTint="99"/>
        </w:tcBorders>
      </w:tcPr>
    </w:tblStylePr>
    <w:tblStylePr w:type="swCell">
      <w:tblPr/>
      <w:tcPr>
        <w:tcBorders>
          <w:top w:val="single" w:sz="4" w:space="0" w:color="3DB2FF" w:themeColor="accent1" w:themeTint="99"/>
        </w:tcBorders>
      </w:tcPr>
    </w:tblStylePr>
  </w:style>
  <w:style w:type="table" w:styleId="KlavuzTablo7Renkli-Vurgu2">
    <w:name w:val="Grid Table 7 Colorful Accent 2"/>
    <w:basedOn w:val="NormalTablo"/>
    <w:uiPriority w:val="52"/>
    <w:semiHidden/>
    <w:rsid w:val="00540D5A"/>
    <w:rPr>
      <w:color w:val="8F0000" w:themeColor="accent2" w:themeShade="BF"/>
    </w:rPr>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bottom w:val="single" w:sz="4" w:space="0" w:color="FF4040" w:themeColor="accent2" w:themeTint="99"/>
        </w:tcBorders>
      </w:tcPr>
    </w:tblStylePr>
    <w:tblStylePr w:type="nwCell">
      <w:tblPr/>
      <w:tcPr>
        <w:tcBorders>
          <w:bottom w:val="single" w:sz="4" w:space="0" w:color="FF4040" w:themeColor="accent2" w:themeTint="99"/>
        </w:tcBorders>
      </w:tcPr>
    </w:tblStylePr>
    <w:tblStylePr w:type="seCell">
      <w:tblPr/>
      <w:tcPr>
        <w:tcBorders>
          <w:top w:val="single" w:sz="4" w:space="0" w:color="FF4040" w:themeColor="accent2" w:themeTint="99"/>
        </w:tcBorders>
      </w:tcPr>
    </w:tblStylePr>
    <w:tblStylePr w:type="swCell">
      <w:tblPr/>
      <w:tcPr>
        <w:tcBorders>
          <w:top w:val="single" w:sz="4" w:space="0" w:color="FF4040" w:themeColor="accent2" w:themeTint="99"/>
        </w:tcBorders>
      </w:tcPr>
    </w:tblStylePr>
  </w:style>
  <w:style w:type="table" w:styleId="KlavuzTablo7Renkli-Vurgu3">
    <w:name w:val="Grid Table 7 Colorful Accent 3"/>
    <w:basedOn w:val="NormalTablo"/>
    <w:uiPriority w:val="52"/>
    <w:semiHidden/>
    <w:rsid w:val="00540D5A"/>
    <w:rPr>
      <w:color w:val="474747" w:themeColor="accent3" w:themeShade="BF"/>
    </w:rPr>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bottom w:val="single" w:sz="4" w:space="0" w:color="9F9F9F" w:themeColor="accent3" w:themeTint="99"/>
        </w:tcBorders>
      </w:tcPr>
    </w:tblStylePr>
    <w:tblStylePr w:type="nwCell">
      <w:tblPr/>
      <w:tcPr>
        <w:tcBorders>
          <w:bottom w:val="single" w:sz="4" w:space="0" w:color="9F9F9F" w:themeColor="accent3" w:themeTint="99"/>
        </w:tcBorders>
      </w:tcPr>
    </w:tblStylePr>
    <w:tblStylePr w:type="seCell">
      <w:tblPr/>
      <w:tcPr>
        <w:tcBorders>
          <w:top w:val="single" w:sz="4" w:space="0" w:color="9F9F9F" w:themeColor="accent3" w:themeTint="99"/>
        </w:tcBorders>
      </w:tcPr>
    </w:tblStylePr>
    <w:tblStylePr w:type="swCell">
      <w:tblPr/>
      <w:tcPr>
        <w:tcBorders>
          <w:top w:val="single" w:sz="4" w:space="0" w:color="9F9F9F" w:themeColor="accent3" w:themeTint="99"/>
        </w:tcBorders>
      </w:tcPr>
    </w:tblStylePr>
  </w:style>
  <w:style w:type="table" w:styleId="KlavuzTablo7Renkli-Vurgu4">
    <w:name w:val="Grid Table 7 Colorful Accent 4"/>
    <w:basedOn w:val="NormalTablo"/>
    <w:uiPriority w:val="52"/>
    <w:semiHidden/>
    <w:rsid w:val="00540D5A"/>
    <w:rPr>
      <w:color w:val="707070" w:themeColor="accent4" w:themeShade="BF"/>
    </w:rPr>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bottom w:val="single" w:sz="4" w:space="0" w:color="C0C0C0" w:themeColor="accent4" w:themeTint="99"/>
        </w:tcBorders>
      </w:tcPr>
    </w:tblStylePr>
    <w:tblStylePr w:type="nwCell">
      <w:tblPr/>
      <w:tcPr>
        <w:tcBorders>
          <w:bottom w:val="single" w:sz="4" w:space="0" w:color="C0C0C0" w:themeColor="accent4" w:themeTint="99"/>
        </w:tcBorders>
      </w:tcPr>
    </w:tblStylePr>
    <w:tblStylePr w:type="seCell">
      <w:tblPr/>
      <w:tcPr>
        <w:tcBorders>
          <w:top w:val="single" w:sz="4" w:space="0" w:color="C0C0C0" w:themeColor="accent4" w:themeTint="99"/>
        </w:tcBorders>
      </w:tcPr>
    </w:tblStylePr>
    <w:tblStylePr w:type="swCell">
      <w:tblPr/>
      <w:tcPr>
        <w:tcBorders>
          <w:top w:val="single" w:sz="4" w:space="0" w:color="C0C0C0" w:themeColor="accent4" w:themeTint="99"/>
        </w:tcBorders>
      </w:tcPr>
    </w:tblStylePr>
  </w:style>
  <w:style w:type="table" w:styleId="KlavuzTablo7Renkli-Vurgu5">
    <w:name w:val="Grid Table 7 Colorful Accent 5"/>
    <w:basedOn w:val="NormalTablo"/>
    <w:uiPriority w:val="52"/>
    <w:semiHidden/>
    <w:rsid w:val="00540D5A"/>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KlavuzTablo7Renkli-Vurgu6">
    <w:name w:val="Grid Table 7 Colorful Accent 6"/>
    <w:basedOn w:val="NormalTablo"/>
    <w:uiPriority w:val="52"/>
    <w:semiHidden/>
    <w:rsid w:val="00540D5A"/>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Etiket1">
    <w:name w:val="Etiket1"/>
    <w:basedOn w:val="VarsaylanParagrafYazTipi"/>
    <w:uiPriority w:val="99"/>
    <w:semiHidden/>
    <w:unhideWhenUsed/>
    <w:rsid w:val="00540D5A"/>
    <w:rPr>
      <w:color w:val="2B579A"/>
      <w:shd w:val="clear" w:color="auto" w:fill="E1DFDD"/>
    </w:rPr>
  </w:style>
  <w:style w:type="table" w:styleId="ListeTablo1Ak">
    <w:name w:val="List Table 1 Light"/>
    <w:basedOn w:val="NormalTablo"/>
    <w:uiPriority w:val="46"/>
    <w:semiHidden/>
    <w:rsid w:val="00540D5A"/>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eTablo1Ak-Vurgu1">
    <w:name w:val="List Table 1 Light Accent 1"/>
    <w:basedOn w:val="NormalTablo"/>
    <w:uiPriority w:val="46"/>
    <w:semiHidden/>
    <w:rsid w:val="00540D5A"/>
    <w:tblPr>
      <w:tblStyleRowBandSize w:val="1"/>
      <w:tblStyleColBandSize w:val="1"/>
    </w:tblPr>
    <w:tblStylePr w:type="firstRow">
      <w:rPr>
        <w:b/>
        <w:bCs/>
      </w:rPr>
      <w:tblPr/>
      <w:tcPr>
        <w:tcBorders>
          <w:bottom w:val="single" w:sz="4" w:space="0" w:color="3DB2FF" w:themeColor="accent1" w:themeTint="99"/>
        </w:tcBorders>
      </w:tcPr>
    </w:tblStylePr>
    <w:tblStylePr w:type="lastRow">
      <w:rPr>
        <w:b/>
        <w:bCs/>
      </w:rPr>
      <w:tblPr/>
      <w:tcPr>
        <w:tcBorders>
          <w:top w:val="sing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ListeTablo1Ak-Vurgu2">
    <w:name w:val="List Table 1 Light Accent 2"/>
    <w:basedOn w:val="NormalTablo"/>
    <w:uiPriority w:val="46"/>
    <w:semiHidden/>
    <w:rsid w:val="00540D5A"/>
    <w:tblPr>
      <w:tblStyleRowBandSize w:val="1"/>
      <w:tblStyleColBandSize w:val="1"/>
    </w:tblPr>
    <w:tblStylePr w:type="firstRow">
      <w:rPr>
        <w:b/>
        <w:bCs/>
      </w:rPr>
      <w:tblPr/>
      <w:tcPr>
        <w:tcBorders>
          <w:bottom w:val="single" w:sz="4" w:space="0" w:color="FF4040" w:themeColor="accent2" w:themeTint="99"/>
        </w:tcBorders>
      </w:tcPr>
    </w:tblStylePr>
    <w:tblStylePr w:type="lastRow">
      <w:rPr>
        <w:b/>
        <w:bCs/>
      </w:rPr>
      <w:tblPr/>
      <w:tcPr>
        <w:tcBorders>
          <w:top w:val="sing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ListeTablo1Ak-Vurgu3">
    <w:name w:val="List Table 1 Light Accent 3"/>
    <w:basedOn w:val="NormalTablo"/>
    <w:uiPriority w:val="46"/>
    <w:semiHidden/>
    <w:rsid w:val="00540D5A"/>
    <w:tblPr>
      <w:tblStyleRowBandSize w:val="1"/>
      <w:tblStyleColBandSize w:val="1"/>
    </w:tblPr>
    <w:tblStylePr w:type="firstRow">
      <w:rPr>
        <w:b/>
        <w:bCs/>
      </w:rPr>
      <w:tblPr/>
      <w:tcPr>
        <w:tcBorders>
          <w:bottom w:val="single" w:sz="4" w:space="0" w:color="9F9F9F" w:themeColor="accent3" w:themeTint="99"/>
        </w:tcBorders>
      </w:tcPr>
    </w:tblStylePr>
    <w:tblStylePr w:type="lastRow">
      <w:rPr>
        <w:b/>
        <w:bCs/>
      </w:rPr>
      <w:tblPr/>
      <w:tcPr>
        <w:tcBorders>
          <w:top w:val="sing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ListeTablo1Ak-Vurgu4">
    <w:name w:val="List Table 1 Light Accent 4"/>
    <w:basedOn w:val="NormalTablo"/>
    <w:uiPriority w:val="46"/>
    <w:semiHidden/>
    <w:rsid w:val="00540D5A"/>
    <w:tblPr>
      <w:tblStyleRowBandSize w:val="1"/>
      <w:tblStyleColBandSize w:val="1"/>
    </w:tblPr>
    <w:tblStylePr w:type="firstRow">
      <w:rPr>
        <w:b/>
        <w:bCs/>
      </w:rPr>
      <w:tblPr/>
      <w:tcPr>
        <w:tcBorders>
          <w:bottom w:val="single" w:sz="4" w:space="0" w:color="C0C0C0" w:themeColor="accent4" w:themeTint="99"/>
        </w:tcBorders>
      </w:tcPr>
    </w:tblStylePr>
    <w:tblStylePr w:type="lastRow">
      <w:rPr>
        <w:b/>
        <w:bCs/>
      </w:rPr>
      <w:tblPr/>
      <w:tcPr>
        <w:tcBorders>
          <w:top w:val="sing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ListeTablo1Ak-Vurgu5">
    <w:name w:val="List Table 1 Light Accent 5"/>
    <w:basedOn w:val="NormalTablo"/>
    <w:uiPriority w:val="46"/>
    <w:semiHidden/>
    <w:rsid w:val="00540D5A"/>
    <w:tblPr>
      <w:tblStyleRowBandSize w:val="1"/>
      <w:tblStyleColBandSize w:val="1"/>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ListeTablo1Ak-Vurgu6">
    <w:name w:val="List Table 1 Light Accent 6"/>
    <w:basedOn w:val="NormalTablo"/>
    <w:uiPriority w:val="46"/>
    <w:semiHidden/>
    <w:rsid w:val="00540D5A"/>
    <w:tblPr>
      <w:tblStyleRowBandSize w:val="1"/>
      <w:tblStyleColBandSize w:val="1"/>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ListeTablo2">
    <w:name w:val="List Table 2"/>
    <w:basedOn w:val="NormalTablo"/>
    <w:uiPriority w:val="47"/>
    <w:semiHidden/>
    <w:rsid w:val="00540D5A"/>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eTablo2-Vurgu1">
    <w:name w:val="List Table 2 Accent 1"/>
    <w:basedOn w:val="NormalTablo"/>
    <w:uiPriority w:val="47"/>
    <w:semiHidden/>
    <w:rsid w:val="00540D5A"/>
    <w:tblPr>
      <w:tblStyleRowBandSize w:val="1"/>
      <w:tblStyleColBandSize w:val="1"/>
      <w:tblBorders>
        <w:top w:val="single" w:sz="4" w:space="0" w:color="3DB2FF" w:themeColor="accent1" w:themeTint="99"/>
        <w:bottom w:val="single" w:sz="4" w:space="0" w:color="3DB2FF" w:themeColor="accent1" w:themeTint="99"/>
        <w:insideH w:val="single" w:sz="4" w:space="0" w:color="3DB2F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ListeTablo2-Vurgu2">
    <w:name w:val="List Table 2 Accent 2"/>
    <w:basedOn w:val="NormalTablo"/>
    <w:uiPriority w:val="47"/>
    <w:semiHidden/>
    <w:rsid w:val="00540D5A"/>
    <w:tblPr>
      <w:tblStyleRowBandSize w:val="1"/>
      <w:tblStyleColBandSize w:val="1"/>
      <w:tblBorders>
        <w:top w:val="single" w:sz="4" w:space="0" w:color="FF4040" w:themeColor="accent2" w:themeTint="99"/>
        <w:bottom w:val="single" w:sz="4" w:space="0" w:color="FF4040" w:themeColor="accent2" w:themeTint="99"/>
        <w:insideH w:val="single" w:sz="4" w:space="0" w:color="FF404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ListeTablo2-Vurgu3">
    <w:name w:val="List Table 2 Accent 3"/>
    <w:basedOn w:val="NormalTablo"/>
    <w:uiPriority w:val="47"/>
    <w:semiHidden/>
    <w:rsid w:val="00540D5A"/>
    <w:tblPr>
      <w:tblStyleRowBandSize w:val="1"/>
      <w:tblStyleColBandSize w:val="1"/>
      <w:tblBorders>
        <w:top w:val="single" w:sz="4" w:space="0" w:color="9F9F9F" w:themeColor="accent3" w:themeTint="99"/>
        <w:bottom w:val="single" w:sz="4" w:space="0" w:color="9F9F9F" w:themeColor="accent3" w:themeTint="99"/>
        <w:insideH w:val="single" w:sz="4" w:space="0" w:color="9F9F9F"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ListeTablo2-Vurgu4">
    <w:name w:val="List Table 2 Accent 4"/>
    <w:basedOn w:val="NormalTablo"/>
    <w:uiPriority w:val="47"/>
    <w:semiHidden/>
    <w:rsid w:val="00540D5A"/>
    <w:tblPr>
      <w:tblStyleRowBandSize w:val="1"/>
      <w:tblStyleColBandSize w:val="1"/>
      <w:tblBorders>
        <w:top w:val="single" w:sz="4" w:space="0" w:color="C0C0C0" w:themeColor="accent4" w:themeTint="99"/>
        <w:bottom w:val="single" w:sz="4" w:space="0" w:color="C0C0C0" w:themeColor="accent4" w:themeTint="99"/>
        <w:insideH w:val="single" w:sz="4" w:space="0" w:color="C0C0C0"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ListeTablo2-Vurgu5">
    <w:name w:val="List Table 2 Accent 5"/>
    <w:basedOn w:val="NormalTablo"/>
    <w:uiPriority w:val="47"/>
    <w:semiHidden/>
    <w:rsid w:val="00540D5A"/>
    <w:tblPr>
      <w:tblStyleRowBandSize w:val="1"/>
      <w:tblStyleColBandSize w:val="1"/>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ListeTablo2-Vurgu6">
    <w:name w:val="List Table 2 Accent 6"/>
    <w:basedOn w:val="NormalTablo"/>
    <w:uiPriority w:val="47"/>
    <w:semiHidden/>
    <w:rsid w:val="00540D5A"/>
    <w:tblPr>
      <w:tblStyleRowBandSize w:val="1"/>
      <w:tblStyleColBandSize w:val="1"/>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ListeTablo3">
    <w:name w:val="List Table 3"/>
    <w:basedOn w:val="NormalTablo"/>
    <w:uiPriority w:val="48"/>
    <w:semiHidden/>
    <w:rsid w:val="00540D5A"/>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0072BC"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eTablo3-Vurgu1">
    <w:name w:val="List Table 3 Accent 1"/>
    <w:basedOn w:val="NormalTablo"/>
    <w:uiPriority w:val="48"/>
    <w:semiHidden/>
    <w:rsid w:val="00540D5A"/>
    <w:tblPr>
      <w:tblStyleRowBandSize w:val="1"/>
      <w:tblStyleColBandSize w:val="1"/>
      <w:tblBorders>
        <w:top w:val="single" w:sz="4" w:space="0" w:color="0072BC" w:themeColor="accent1"/>
        <w:left w:val="single" w:sz="4" w:space="0" w:color="0072BC" w:themeColor="accent1"/>
        <w:bottom w:val="single" w:sz="4" w:space="0" w:color="0072BC" w:themeColor="accent1"/>
        <w:right w:val="single" w:sz="4" w:space="0" w:color="0072BC" w:themeColor="accent1"/>
      </w:tblBorders>
    </w:tblPr>
    <w:tblStylePr w:type="firstRow">
      <w:rPr>
        <w:b/>
        <w:bCs/>
        <w:color w:val="0072BC" w:themeColor="background1"/>
      </w:rPr>
      <w:tblPr/>
      <w:tcPr>
        <w:shd w:val="clear" w:color="auto" w:fill="0072BC" w:themeFill="accent1"/>
      </w:tcPr>
    </w:tblStylePr>
    <w:tblStylePr w:type="lastRow">
      <w:rPr>
        <w:b/>
        <w:bCs/>
      </w:rPr>
      <w:tblPr/>
      <w:tcPr>
        <w:tcBorders>
          <w:top w:val="double" w:sz="4" w:space="0" w:color="0072BC" w:themeColor="accent1"/>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0072BC" w:themeColor="accent1"/>
          <w:right w:val="single" w:sz="4" w:space="0" w:color="0072BC" w:themeColor="accent1"/>
        </w:tcBorders>
      </w:tcPr>
    </w:tblStylePr>
    <w:tblStylePr w:type="band1Horz">
      <w:tblPr/>
      <w:tcPr>
        <w:tcBorders>
          <w:top w:val="single" w:sz="4" w:space="0" w:color="0072BC" w:themeColor="accent1"/>
          <w:bottom w:val="single" w:sz="4" w:space="0" w:color="0072BC"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72BC" w:themeColor="accent1"/>
          <w:left w:val="nil"/>
        </w:tcBorders>
      </w:tcPr>
    </w:tblStylePr>
    <w:tblStylePr w:type="swCell">
      <w:tblPr/>
      <w:tcPr>
        <w:tcBorders>
          <w:top w:val="double" w:sz="4" w:space="0" w:color="0072BC" w:themeColor="accent1"/>
          <w:right w:val="nil"/>
        </w:tcBorders>
      </w:tcPr>
    </w:tblStylePr>
  </w:style>
  <w:style w:type="table" w:styleId="ListeTablo3-Vurgu2">
    <w:name w:val="List Table 3 Accent 2"/>
    <w:basedOn w:val="NormalTablo"/>
    <w:uiPriority w:val="48"/>
    <w:semiHidden/>
    <w:rsid w:val="00540D5A"/>
    <w:tblPr>
      <w:tblStyleRowBandSize w:val="1"/>
      <w:tblStyleColBandSize w:val="1"/>
      <w:tblBorders>
        <w:top w:val="single" w:sz="4" w:space="0" w:color="C00000" w:themeColor="accent2"/>
        <w:left w:val="single" w:sz="4" w:space="0" w:color="C00000" w:themeColor="accent2"/>
        <w:bottom w:val="single" w:sz="4" w:space="0" w:color="C00000" w:themeColor="accent2"/>
        <w:right w:val="single" w:sz="4" w:space="0" w:color="C00000" w:themeColor="accent2"/>
      </w:tblBorders>
    </w:tblPr>
    <w:tblStylePr w:type="firstRow">
      <w:rPr>
        <w:b/>
        <w:bCs/>
        <w:color w:val="0072BC" w:themeColor="background1"/>
      </w:rPr>
      <w:tblPr/>
      <w:tcPr>
        <w:shd w:val="clear" w:color="auto" w:fill="C00000" w:themeFill="accent2"/>
      </w:tcPr>
    </w:tblStylePr>
    <w:tblStylePr w:type="lastRow">
      <w:rPr>
        <w:b/>
        <w:bCs/>
      </w:rPr>
      <w:tblPr/>
      <w:tcPr>
        <w:tcBorders>
          <w:top w:val="double" w:sz="4" w:space="0" w:color="C00000" w:themeColor="accent2"/>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C00000" w:themeColor="accent2"/>
          <w:right w:val="single" w:sz="4" w:space="0" w:color="C00000" w:themeColor="accent2"/>
        </w:tcBorders>
      </w:tcPr>
    </w:tblStylePr>
    <w:tblStylePr w:type="band1Horz">
      <w:tblPr/>
      <w:tcPr>
        <w:tcBorders>
          <w:top w:val="single" w:sz="4" w:space="0" w:color="C00000" w:themeColor="accent2"/>
          <w:bottom w:val="single" w:sz="4" w:space="0" w:color="C00000"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0000" w:themeColor="accent2"/>
          <w:left w:val="nil"/>
        </w:tcBorders>
      </w:tcPr>
    </w:tblStylePr>
    <w:tblStylePr w:type="swCell">
      <w:tblPr/>
      <w:tcPr>
        <w:tcBorders>
          <w:top w:val="double" w:sz="4" w:space="0" w:color="C00000" w:themeColor="accent2"/>
          <w:right w:val="nil"/>
        </w:tcBorders>
      </w:tcPr>
    </w:tblStylePr>
  </w:style>
  <w:style w:type="table" w:styleId="ListeTablo3-Vurgu3">
    <w:name w:val="List Table 3 Accent 3"/>
    <w:basedOn w:val="NormalTablo"/>
    <w:uiPriority w:val="48"/>
    <w:semiHidden/>
    <w:rsid w:val="00540D5A"/>
    <w:tblPr>
      <w:tblStyleRowBandSize w:val="1"/>
      <w:tblStyleColBandSize w:val="1"/>
      <w:tblBorders>
        <w:top w:val="single" w:sz="4" w:space="0" w:color="5F5F5F" w:themeColor="accent3"/>
        <w:left w:val="single" w:sz="4" w:space="0" w:color="5F5F5F" w:themeColor="accent3"/>
        <w:bottom w:val="single" w:sz="4" w:space="0" w:color="5F5F5F" w:themeColor="accent3"/>
        <w:right w:val="single" w:sz="4" w:space="0" w:color="5F5F5F" w:themeColor="accent3"/>
      </w:tblBorders>
    </w:tblPr>
    <w:tblStylePr w:type="firstRow">
      <w:rPr>
        <w:b/>
        <w:bCs/>
        <w:color w:val="0072BC" w:themeColor="background1"/>
      </w:rPr>
      <w:tblPr/>
      <w:tcPr>
        <w:shd w:val="clear" w:color="auto" w:fill="5F5F5F" w:themeFill="accent3"/>
      </w:tcPr>
    </w:tblStylePr>
    <w:tblStylePr w:type="lastRow">
      <w:rPr>
        <w:b/>
        <w:bCs/>
      </w:rPr>
      <w:tblPr/>
      <w:tcPr>
        <w:tcBorders>
          <w:top w:val="double" w:sz="4" w:space="0" w:color="5F5F5F" w:themeColor="accent3"/>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5F5F5F" w:themeColor="accent3"/>
          <w:right w:val="single" w:sz="4" w:space="0" w:color="5F5F5F" w:themeColor="accent3"/>
        </w:tcBorders>
      </w:tcPr>
    </w:tblStylePr>
    <w:tblStylePr w:type="band1Horz">
      <w:tblPr/>
      <w:tcPr>
        <w:tcBorders>
          <w:top w:val="single" w:sz="4" w:space="0" w:color="5F5F5F" w:themeColor="accent3"/>
          <w:bottom w:val="single" w:sz="4" w:space="0" w:color="5F5F5F"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3"/>
          <w:left w:val="nil"/>
        </w:tcBorders>
      </w:tcPr>
    </w:tblStylePr>
    <w:tblStylePr w:type="swCell">
      <w:tblPr/>
      <w:tcPr>
        <w:tcBorders>
          <w:top w:val="double" w:sz="4" w:space="0" w:color="5F5F5F" w:themeColor="accent3"/>
          <w:right w:val="nil"/>
        </w:tcBorders>
      </w:tcPr>
    </w:tblStylePr>
  </w:style>
  <w:style w:type="table" w:styleId="ListeTablo3-Vurgu4">
    <w:name w:val="List Table 3 Accent 4"/>
    <w:basedOn w:val="NormalTablo"/>
    <w:uiPriority w:val="48"/>
    <w:semiHidden/>
    <w:rsid w:val="00540D5A"/>
    <w:tblPr>
      <w:tblStyleRowBandSize w:val="1"/>
      <w:tblStyleColBandSize w:val="1"/>
      <w:tblBorders>
        <w:top w:val="single" w:sz="4" w:space="0" w:color="969696" w:themeColor="accent4"/>
        <w:left w:val="single" w:sz="4" w:space="0" w:color="969696" w:themeColor="accent4"/>
        <w:bottom w:val="single" w:sz="4" w:space="0" w:color="969696" w:themeColor="accent4"/>
        <w:right w:val="single" w:sz="4" w:space="0" w:color="969696" w:themeColor="accent4"/>
      </w:tblBorders>
    </w:tblPr>
    <w:tblStylePr w:type="firstRow">
      <w:rPr>
        <w:b/>
        <w:bCs/>
        <w:color w:val="0072BC" w:themeColor="background1"/>
      </w:rPr>
      <w:tblPr/>
      <w:tcPr>
        <w:shd w:val="clear" w:color="auto" w:fill="969696" w:themeFill="accent4"/>
      </w:tcPr>
    </w:tblStylePr>
    <w:tblStylePr w:type="lastRow">
      <w:rPr>
        <w:b/>
        <w:bCs/>
      </w:rPr>
      <w:tblPr/>
      <w:tcPr>
        <w:tcBorders>
          <w:top w:val="double" w:sz="4" w:space="0" w:color="969696" w:themeColor="accent4"/>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969696" w:themeColor="accent4"/>
          <w:right w:val="single" w:sz="4" w:space="0" w:color="969696" w:themeColor="accent4"/>
        </w:tcBorders>
      </w:tcPr>
    </w:tblStylePr>
    <w:tblStylePr w:type="band1Horz">
      <w:tblPr/>
      <w:tcPr>
        <w:tcBorders>
          <w:top w:val="single" w:sz="4" w:space="0" w:color="969696" w:themeColor="accent4"/>
          <w:bottom w:val="single" w:sz="4" w:space="0" w:color="969696"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4"/>
          <w:left w:val="nil"/>
        </w:tcBorders>
      </w:tcPr>
    </w:tblStylePr>
    <w:tblStylePr w:type="swCell">
      <w:tblPr/>
      <w:tcPr>
        <w:tcBorders>
          <w:top w:val="double" w:sz="4" w:space="0" w:color="969696" w:themeColor="accent4"/>
          <w:right w:val="nil"/>
        </w:tcBorders>
      </w:tcPr>
    </w:tblStylePr>
  </w:style>
  <w:style w:type="table" w:styleId="ListeTablo3-Vurgu5">
    <w:name w:val="List Table 3 Accent 5"/>
    <w:basedOn w:val="NormalTablo"/>
    <w:uiPriority w:val="48"/>
    <w:semiHidden/>
    <w:rsid w:val="00540D5A"/>
    <w:tblPr>
      <w:tblStyleRowBandSize w:val="1"/>
      <w:tblStyleColBandSize w:val="1"/>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0072BC"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styleId="ListeTablo3-Vurgu6">
    <w:name w:val="List Table 3 Accent 6"/>
    <w:basedOn w:val="NormalTablo"/>
    <w:uiPriority w:val="48"/>
    <w:semiHidden/>
    <w:rsid w:val="00540D5A"/>
    <w:tblPr>
      <w:tblStyleRowBandSize w:val="1"/>
      <w:tblStyleColBandSize w:val="1"/>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0072BC"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styleId="ListeTablo4">
    <w:name w:val="List Table 4"/>
    <w:basedOn w:val="NormalTablo"/>
    <w:uiPriority w:val="49"/>
    <w:semiHidden/>
    <w:rsid w:val="00540D5A"/>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0072BC"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eTablo4-Vurgu1">
    <w:name w:val="List Table 4 Accent 1"/>
    <w:basedOn w:val="NormalTablo"/>
    <w:uiPriority w:val="49"/>
    <w:semiHidden/>
    <w:rsid w:val="00540D5A"/>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tblBorders>
    </w:tblPr>
    <w:tblStylePr w:type="firstRow">
      <w:rPr>
        <w:b/>
        <w:bCs/>
        <w:color w:val="0072BC" w:themeColor="background1"/>
      </w:rPr>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nil"/>
        </w:tcBorders>
        <w:shd w:val="clear" w:color="auto" w:fill="0072BC" w:themeFill="accent1"/>
      </w:tcPr>
    </w:tblStylePr>
    <w:tblStylePr w:type="lastRow">
      <w:rPr>
        <w:b/>
        <w:bCs/>
      </w:rPr>
      <w:tblPr/>
      <w:tcPr>
        <w:tcBorders>
          <w:top w:val="doub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ListeTablo4-Vurgu2">
    <w:name w:val="List Table 4 Accent 2"/>
    <w:basedOn w:val="NormalTablo"/>
    <w:uiPriority w:val="49"/>
    <w:semiHidden/>
    <w:rsid w:val="00540D5A"/>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tblBorders>
    </w:tblPr>
    <w:tblStylePr w:type="firstRow">
      <w:rPr>
        <w:b/>
        <w:bCs/>
        <w:color w:val="0072BC" w:themeColor="background1"/>
      </w:rPr>
      <w:tblPr/>
      <w:tcPr>
        <w:tcBorders>
          <w:top w:val="single" w:sz="4" w:space="0" w:color="C00000" w:themeColor="accent2"/>
          <w:left w:val="single" w:sz="4" w:space="0" w:color="C00000" w:themeColor="accent2"/>
          <w:bottom w:val="single" w:sz="4" w:space="0" w:color="C00000" w:themeColor="accent2"/>
          <w:right w:val="single" w:sz="4" w:space="0" w:color="C00000" w:themeColor="accent2"/>
          <w:insideH w:val="nil"/>
        </w:tcBorders>
        <w:shd w:val="clear" w:color="auto" w:fill="C00000" w:themeFill="accent2"/>
      </w:tcPr>
    </w:tblStylePr>
    <w:tblStylePr w:type="lastRow">
      <w:rPr>
        <w:b/>
        <w:bCs/>
      </w:rPr>
      <w:tblPr/>
      <w:tcPr>
        <w:tcBorders>
          <w:top w:val="doub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ListeTablo4-Vurgu3">
    <w:name w:val="List Table 4 Accent 3"/>
    <w:basedOn w:val="NormalTablo"/>
    <w:uiPriority w:val="49"/>
    <w:semiHidden/>
    <w:rsid w:val="00540D5A"/>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tblBorders>
    </w:tblPr>
    <w:tblStylePr w:type="firstRow">
      <w:rPr>
        <w:b/>
        <w:bCs/>
        <w:color w:val="0072BC" w:themeColor="background1"/>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tcBorders>
        <w:shd w:val="clear" w:color="auto" w:fill="5F5F5F" w:themeFill="accent3"/>
      </w:tcPr>
    </w:tblStylePr>
    <w:tblStylePr w:type="lastRow">
      <w:rPr>
        <w:b/>
        <w:bCs/>
      </w:rPr>
      <w:tblPr/>
      <w:tcPr>
        <w:tcBorders>
          <w:top w:val="doub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ListeTablo4-Vurgu4">
    <w:name w:val="List Table 4 Accent 4"/>
    <w:basedOn w:val="NormalTablo"/>
    <w:uiPriority w:val="49"/>
    <w:semiHidden/>
    <w:rsid w:val="00540D5A"/>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tblBorders>
    </w:tblPr>
    <w:tblStylePr w:type="firstRow">
      <w:rPr>
        <w:b/>
        <w:bCs/>
        <w:color w:val="0072BC" w:themeColor="background1"/>
      </w:rPr>
      <w:tblPr/>
      <w:tcPr>
        <w:tcBorders>
          <w:top w:val="single" w:sz="4" w:space="0" w:color="969696" w:themeColor="accent4"/>
          <w:left w:val="single" w:sz="4" w:space="0" w:color="969696" w:themeColor="accent4"/>
          <w:bottom w:val="single" w:sz="4" w:space="0" w:color="969696" w:themeColor="accent4"/>
          <w:right w:val="single" w:sz="4" w:space="0" w:color="969696" w:themeColor="accent4"/>
          <w:insideH w:val="nil"/>
        </w:tcBorders>
        <w:shd w:val="clear" w:color="auto" w:fill="969696" w:themeFill="accent4"/>
      </w:tcPr>
    </w:tblStylePr>
    <w:tblStylePr w:type="lastRow">
      <w:rPr>
        <w:b/>
        <w:bCs/>
      </w:rPr>
      <w:tblPr/>
      <w:tcPr>
        <w:tcBorders>
          <w:top w:val="doub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ListeTablo4-Vurgu5">
    <w:name w:val="List Table 4 Accent 5"/>
    <w:basedOn w:val="NormalTablo"/>
    <w:uiPriority w:val="49"/>
    <w:semiHidden/>
    <w:rsid w:val="00540D5A"/>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0072BC"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ListeTablo4-Vurgu6">
    <w:name w:val="List Table 4 Accent 6"/>
    <w:basedOn w:val="NormalTablo"/>
    <w:uiPriority w:val="49"/>
    <w:semiHidden/>
    <w:rsid w:val="00540D5A"/>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0072BC"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ListeTablo5-Koyu">
    <w:name w:val="List Table 5 Dark"/>
    <w:basedOn w:val="NormalTablo"/>
    <w:uiPriority w:val="50"/>
    <w:semiHidden/>
    <w:rsid w:val="00540D5A"/>
    <w:rPr>
      <w:color w:val="0072BC"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Tablo5Koyu-Vurgu1">
    <w:name w:val="List Table 5 Dark Accent 1"/>
    <w:basedOn w:val="NormalTablo"/>
    <w:uiPriority w:val="50"/>
    <w:semiHidden/>
    <w:rsid w:val="00540D5A"/>
    <w:rPr>
      <w:color w:val="0072BC" w:themeColor="background1"/>
    </w:rPr>
    <w:tblPr>
      <w:tblStyleRowBandSize w:val="1"/>
      <w:tblStyleColBandSize w:val="1"/>
      <w:tblBorders>
        <w:top w:val="single" w:sz="24" w:space="0" w:color="0072BC" w:themeColor="accent1"/>
        <w:left w:val="single" w:sz="24" w:space="0" w:color="0072BC" w:themeColor="accent1"/>
        <w:bottom w:val="single" w:sz="24" w:space="0" w:color="0072BC" w:themeColor="accent1"/>
        <w:right w:val="single" w:sz="24" w:space="0" w:color="0072BC" w:themeColor="accent1"/>
      </w:tblBorders>
    </w:tblPr>
    <w:tcPr>
      <w:shd w:val="clear" w:color="auto" w:fill="0072BC" w:themeFill="accent1"/>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Tablo5Koyu-Vurgu2">
    <w:name w:val="List Table 5 Dark Accent 2"/>
    <w:basedOn w:val="NormalTablo"/>
    <w:uiPriority w:val="50"/>
    <w:semiHidden/>
    <w:rsid w:val="00540D5A"/>
    <w:rPr>
      <w:color w:val="0072BC" w:themeColor="background1"/>
    </w:rPr>
    <w:tblPr>
      <w:tblStyleRowBandSize w:val="1"/>
      <w:tblStyleColBandSize w:val="1"/>
      <w:tblBorders>
        <w:top w:val="single" w:sz="24" w:space="0" w:color="C00000" w:themeColor="accent2"/>
        <w:left w:val="single" w:sz="24" w:space="0" w:color="C00000" w:themeColor="accent2"/>
        <w:bottom w:val="single" w:sz="24" w:space="0" w:color="C00000" w:themeColor="accent2"/>
        <w:right w:val="single" w:sz="24" w:space="0" w:color="C00000" w:themeColor="accent2"/>
      </w:tblBorders>
    </w:tblPr>
    <w:tcPr>
      <w:shd w:val="clear" w:color="auto" w:fill="C00000" w:themeFill="accent2"/>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Tablo5Koyu-Vurgu3">
    <w:name w:val="List Table 5 Dark Accent 3"/>
    <w:basedOn w:val="NormalTablo"/>
    <w:uiPriority w:val="50"/>
    <w:semiHidden/>
    <w:rsid w:val="00540D5A"/>
    <w:rPr>
      <w:color w:val="0072BC" w:themeColor="background1"/>
    </w:rPr>
    <w:tblPr>
      <w:tblStyleRowBandSize w:val="1"/>
      <w:tblStyleColBandSize w:val="1"/>
      <w:tblBorders>
        <w:top w:val="single" w:sz="24" w:space="0" w:color="5F5F5F" w:themeColor="accent3"/>
        <w:left w:val="single" w:sz="24" w:space="0" w:color="5F5F5F" w:themeColor="accent3"/>
        <w:bottom w:val="single" w:sz="24" w:space="0" w:color="5F5F5F" w:themeColor="accent3"/>
        <w:right w:val="single" w:sz="24" w:space="0" w:color="5F5F5F" w:themeColor="accent3"/>
      </w:tblBorders>
    </w:tblPr>
    <w:tcPr>
      <w:shd w:val="clear" w:color="auto" w:fill="5F5F5F" w:themeFill="accent3"/>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Tablo5Koyu-Vurgu4">
    <w:name w:val="List Table 5 Dark Accent 4"/>
    <w:basedOn w:val="NormalTablo"/>
    <w:uiPriority w:val="50"/>
    <w:semiHidden/>
    <w:rsid w:val="00540D5A"/>
    <w:rPr>
      <w:color w:val="0072BC" w:themeColor="background1"/>
    </w:rPr>
    <w:tblPr>
      <w:tblStyleRowBandSize w:val="1"/>
      <w:tblStyleColBandSize w:val="1"/>
      <w:tblBorders>
        <w:top w:val="single" w:sz="24" w:space="0" w:color="969696" w:themeColor="accent4"/>
        <w:left w:val="single" w:sz="24" w:space="0" w:color="969696" w:themeColor="accent4"/>
        <w:bottom w:val="single" w:sz="24" w:space="0" w:color="969696" w:themeColor="accent4"/>
        <w:right w:val="single" w:sz="24" w:space="0" w:color="969696" w:themeColor="accent4"/>
      </w:tblBorders>
    </w:tblPr>
    <w:tcPr>
      <w:shd w:val="clear" w:color="auto" w:fill="969696" w:themeFill="accent4"/>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Tablo5Koyu-Vurgu5">
    <w:name w:val="List Table 5 Dark Accent 5"/>
    <w:basedOn w:val="NormalTablo"/>
    <w:uiPriority w:val="50"/>
    <w:semiHidden/>
    <w:rsid w:val="00540D5A"/>
    <w:rPr>
      <w:color w:val="0072BC" w:themeColor="background1"/>
    </w:rPr>
    <w:tblPr>
      <w:tblStyleRowBandSize w:val="1"/>
      <w:tblStyleColBandSize w:val="1"/>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Tablo5Koyu-Vurgu6">
    <w:name w:val="List Table 5 Dark Accent 6"/>
    <w:basedOn w:val="NormalTablo"/>
    <w:uiPriority w:val="50"/>
    <w:semiHidden/>
    <w:rsid w:val="00540D5A"/>
    <w:rPr>
      <w:color w:val="0072BC" w:themeColor="background1"/>
    </w:rPr>
    <w:tblPr>
      <w:tblStyleRowBandSize w:val="1"/>
      <w:tblStyleColBandSize w:val="1"/>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Tablo6Renkli">
    <w:name w:val="List Table 6 Colorful"/>
    <w:basedOn w:val="NormalTablo"/>
    <w:uiPriority w:val="51"/>
    <w:semiHidden/>
    <w:rsid w:val="00540D5A"/>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eTablo6Renkli-Vurgu1">
    <w:name w:val="List Table 6 Colorful Accent 1"/>
    <w:basedOn w:val="NormalTablo"/>
    <w:uiPriority w:val="51"/>
    <w:semiHidden/>
    <w:rsid w:val="00540D5A"/>
    <w:rPr>
      <w:color w:val="00548C" w:themeColor="accent1" w:themeShade="BF"/>
    </w:rPr>
    <w:tblPr>
      <w:tblStyleRowBandSize w:val="1"/>
      <w:tblStyleColBandSize w:val="1"/>
      <w:tblBorders>
        <w:top w:val="single" w:sz="4" w:space="0" w:color="0072BC" w:themeColor="accent1"/>
        <w:bottom w:val="single" w:sz="4" w:space="0" w:color="0072BC" w:themeColor="accent1"/>
      </w:tblBorders>
    </w:tblPr>
    <w:tblStylePr w:type="firstRow">
      <w:rPr>
        <w:b/>
        <w:bCs/>
      </w:rPr>
      <w:tblPr/>
      <w:tcPr>
        <w:tcBorders>
          <w:bottom w:val="single" w:sz="4" w:space="0" w:color="0072BC" w:themeColor="accent1"/>
        </w:tcBorders>
      </w:tcPr>
    </w:tblStylePr>
    <w:tblStylePr w:type="lastRow">
      <w:rPr>
        <w:b/>
        <w:bCs/>
      </w:rPr>
      <w:tblPr/>
      <w:tcPr>
        <w:tcBorders>
          <w:top w:val="double" w:sz="4" w:space="0" w:color="0072BC" w:themeColor="accent1"/>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ListeTablo6Renkli-Vurgu2">
    <w:name w:val="List Table 6 Colorful Accent 2"/>
    <w:basedOn w:val="NormalTablo"/>
    <w:uiPriority w:val="51"/>
    <w:semiHidden/>
    <w:rsid w:val="00540D5A"/>
    <w:rPr>
      <w:color w:val="8F0000" w:themeColor="accent2" w:themeShade="BF"/>
    </w:rPr>
    <w:tblPr>
      <w:tblStyleRowBandSize w:val="1"/>
      <w:tblStyleColBandSize w:val="1"/>
      <w:tblBorders>
        <w:top w:val="single" w:sz="4" w:space="0" w:color="C00000" w:themeColor="accent2"/>
        <w:bottom w:val="single" w:sz="4" w:space="0" w:color="C00000" w:themeColor="accent2"/>
      </w:tblBorders>
    </w:tblPr>
    <w:tblStylePr w:type="firstRow">
      <w:rPr>
        <w:b/>
        <w:bCs/>
      </w:rPr>
      <w:tblPr/>
      <w:tcPr>
        <w:tcBorders>
          <w:bottom w:val="single" w:sz="4" w:space="0" w:color="C00000" w:themeColor="accent2"/>
        </w:tcBorders>
      </w:tcPr>
    </w:tblStylePr>
    <w:tblStylePr w:type="lastRow">
      <w:rPr>
        <w:b/>
        <w:bCs/>
      </w:rPr>
      <w:tblPr/>
      <w:tcPr>
        <w:tcBorders>
          <w:top w:val="double" w:sz="4" w:space="0" w:color="C00000" w:themeColor="accent2"/>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ListeTablo6Renkli-Vurgu3">
    <w:name w:val="List Table 6 Colorful Accent 3"/>
    <w:basedOn w:val="NormalTablo"/>
    <w:uiPriority w:val="51"/>
    <w:semiHidden/>
    <w:rsid w:val="00540D5A"/>
    <w:rPr>
      <w:color w:val="474747" w:themeColor="accent3" w:themeShade="BF"/>
    </w:rPr>
    <w:tblPr>
      <w:tblStyleRowBandSize w:val="1"/>
      <w:tblStyleColBandSize w:val="1"/>
      <w:tblBorders>
        <w:top w:val="single" w:sz="4" w:space="0" w:color="5F5F5F" w:themeColor="accent3"/>
        <w:bottom w:val="single" w:sz="4" w:space="0" w:color="5F5F5F" w:themeColor="accent3"/>
      </w:tblBorders>
    </w:tblPr>
    <w:tblStylePr w:type="firstRow">
      <w:rPr>
        <w:b/>
        <w:bCs/>
      </w:rPr>
      <w:tblPr/>
      <w:tcPr>
        <w:tcBorders>
          <w:bottom w:val="single" w:sz="4" w:space="0" w:color="5F5F5F" w:themeColor="accent3"/>
        </w:tcBorders>
      </w:tcPr>
    </w:tblStylePr>
    <w:tblStylePr w:type="lastRow">
      <w:rPr>
        <w:b/>
        <w:bCs/>
      </w:rPr>
      <w:tblPr/>
      <w:tcPr>
        <w:tcBorders>
          <w:top w:val="double" w:sz="4" w:space="0" w:color="5F5F5F" w:themeColor="accent3"/>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ListeTablo6Renkli-Vurgu4">
    <w:name w:val="List Table 6 Colorful Accent 4"/>
    <w:basedOn w:val="NormalTablo"/>
    <w:uiPriority w:val="51"/>
    <w:semiHidden/>
    <w:rsid w:val="00540D5A"/>
    <w:rPr>
      <w:color w:val="707070" w:themeColor="accent4" w:themeShade="BF"/>
    </w:rPr>
    <w:tblPr>
      <w:tblStyleRowBandSize w:val="1"/>
      <w:tblStyleColBandSize w:val="1"/>
      <w:tblBorders>
        <w:top w:val="single" w:sz="4" w:space="0" w:color="969696" w:themeColor="accent4"/>
        <w:bottom w:val="single" w:sz="4" w:space="0" w:color="969696" w:themeColor="accent4"/>
      </w:tblBorders>
    </w:tblPr>
    <w:tblStylePr w:type="firstRow">
      <w:rPr>
        <w:b/>
        <w:bCs/>
      </w:rPr>
      <w:tblPr/>
      <w:tcPr>
        <w:tcBorders>
          <w:bottom w:val="single" w:sz="4" w:space="0" w:color="969696" w:themeColor="accent4"/>
        </w:tcBorders>
      </w:tcPr>
    </w:tblStylePr>
    <w:tblStylePr w:type="lastRow">
      <w:rPr>
        <w:b/>
        <w:bCs/>
      </w:rPr>
      <w:tblPr/>
      <w:tcPr>
        <w:tcBorders>
          <w:top w:val="double" w:sz="4" w:space="0" w:color="969696" w:themeColor="accent4"/>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ListeTablo6Renkli-Vurgu5">
    <w:name w:val="List Table 6 Colorful Accent 5"/>
    <w:basedOn w:val="NormalTablo"/>
    <w:uiPriority w:val="51"/>
    <w:semiHidden/>
    <w:rsid w:val="00540D5A"/>
    <w:rPr>
      <w:color w:val="474747" w:themeColor="accent5" w:themeShade="BF"/>
    </w:rPr>
    <w:tblPr>
      <w:tblStyleRowBandSize w:val="1"/>
      <w:tblStyleColBandSize w:val="1"/>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ListeTablo6Renkli-Vurgu6">
    <w:name w:val="List Table 6 Colorful Accent 6"/>
    <w:basedOn w:val="NormalTablo"/>
    <w:uiPriority w:val="51"/>
    <w:semiHidden/>
    <w:rsid w:val="00540D5A"/>
    <w:rPr>
      <w:color w:val="393939" w:themeColor="accent6" w:themeShade="BF"/>
    </w:rPr>
    <w:tblPr>
      <w:tblStyleRowBandSize w:val="1"/>
      <w:tblStyleColBandSize w:val="1"/>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ListeTablo7Renkli">
    <w:name w:val="List Table 7 Colorful"/>
    <w:basedOn w:val="NormalTablo"/>
    <w:uiPriority w:val="52"/>
    <w:semiHidden/>
    <w:rsid w:val="00540D5A"/>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Tablo7Renkli-Vurgu1">
    <w:name w:val="List Table 7 Colorful Accent 1"/>
    <w:basedOn w:val="NormalTablo"/>
    <w:uiPriority w:val="52"/>
    <w:semiHidden/>
    <w:rsid w:val="00540D5A"/>
    <w:rPr>
      <w:color w:val="00548C"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72BC" w:themeColor="accent1"/>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0072BC" w:themeColor="accent1"/>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72BC" w:themeColor="accent1"/>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0072BC" w:themeColor="accent1"/>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Tablo7Renkli-Vurgu2">
    <w:name w:val="List Table 7 Colorful Accent 2"/>
    <w:basedOn w:val="NormalTablo"/>
    <w:uiPriority w:val="52"/>
    <w:semiHidden/>
    <w:rsid w:val="00540D5A"/>
    <w:rPr>
      <w:color w:val="8F0000"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0000" w:themeColor="accent2"/>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C00000" w:themeColor="accent2"/>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0000" w:themeColor="accent2"/>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C00000" w:themeColor="accent2"/>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Tablo7Renkli-Vurgu3">
    <w:name w:val="List Table 7 Colorful Accent 3"/>
    <w:basedOn w:val="NormalTablo"/>
    <w:uiPriority w:val="52"/>
    <w:semiHidden/>
    <w:rsid w:val="00540D5A"/>
    <w:rPr>
      <w:color w:val="474747"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3"/>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5F5F5F" w:themeColor="accent3"/>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3"/>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5F5F5F" w:themeColor="accent3"/>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Tablo7Renkli-Vurgu4">
    <w:name w:val="List Table 7 Colorful Accent 4"/>
    <w:basedOn w:val="NormalTablo"/>
    <w:uiPriority w:val="52"/>
    <w:semiHidden/>
    <w:rsid w:val="00540D5A"/>
    <w:rPr>
      <w:color w:val="70707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69696" w:themeColor="accent4"/>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969696" w:themeColor="accent4"/>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4"/>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969696" w:themeColor="accent4"/>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Tablo7Renkli-Vurgu5">
    <w:name w:val="List Table 7 Colorful Accent 5"/>
    <w:basedOn w:val="NormalTablo"/>
    <w:uiPriority w:val="52"/>
    <w:semiHidden/>
    <w:rsid w:val="00540D5A"/>
    <w:rPr>
      <w:color w:val="474747"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Tablo7Renkli-Vurgu6">
    <w:name w:val="List Table 7 Colorful Accent 6"/>
    <w:basedOn w:val="NormalTablo"/>
    <w:uiPriority w:val="52"/>
    <w:semiHidden/>
    <w:rsid w:val="00540D5A"/>
    <w:rPr>
      <w:color w:val="39393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Bahset1">
    <w:name w:val="Bahset1"/>
    <w:basedOn w:val="VarsaylanParagrafYazTipi"/>
    <w:uiPriority w:val="99"/>
    <w:semiHidden/>
    <w:unhideWhenUsed/>
    <w:rsid w:val="00540D5A"/>
    <w:rPr>
      <w:color w:val="2B579A"/>
      <w:shd w:val="clear" w:color="auto" w:fill="E1DFDD"/>
    </w:rPr>
  </w:style>
  <w:style w:type="table" w:styleId="DzTablo1">
    <w:name w:val="Plain Table 1"/>
    <w:basedOn w:val="NormalTablo"/>
    <w:uiPriority w:val="41"/>
    <w:semiHidden/>
    <w:rsid w:val="00540D5A"/>
    <w:tblPr>
      <w:tblStyleRowBandSize w:val="1"/>
      <w:tblStyleColBandSize w:val="1"/>
      <w:tblBorders>
        <w:top w:val="single" w:sz="4" w:space="0" w:color="00548C" w:themeColor="background1" w:themeShade="BF"/>
        <w:left w:val="single" w:sz="4" w:space="0" w:color="00548C" w:themeColor="background1" w:themeShade="BF"/>
        <w:bottom w:val="single" w:sz="4" w:space="0" w:color="00548C" w:themeColor="background1" w:themeShade="BF"/>
        <w:right w:val="single" w:sz="4" w:space="0" w:color="00548C" w:themeColor="background1" w:themeShade="BF"/>
        <w:insideH w:val="single" w:sz="4" w:space="0" w:color="00548C" w:themeColor="background1" w:themeShade="BF"/>
        <w:insideV w:val="single" w:sz="4" w:space="0" w:color="00548C" w:themeColor="background1" w:themeShade="BF"/>
      </w:tblBorders>
    </w:tblPr>
    <w:tblStylePr w:type="firstRow">
      <w:rPr>
        <w:b/>
        <w:bCs/>
      </w:rPr>
    </w:tblStylePr>
    <w:tblStylePr w:type="lastRow">
      <w:rPr>
        <w:b/>
        <w:bCs/>
      </w:rPr>
      <w:tblPr/>
      <w:tcPr>
        <w:tcBorders>
          <w:top w:val="double" w:sz="4" w:space="0" w:color="00548C" w:themeColor="background1" w:themeShade="BF"/>
        </w:tcBorders>
      </w:tcPr>
    </w:tblStylePr>
    <w:tblStylePr w:type="firstCol">
      <w:rPr>
        <w:b/>
        <w:bCs/>
      </w:rPr>
    </w:tblStylePr>
    <w:tblStylePr w:type="lastCol">
      <w:rPr>
        <w:b/>
        <w:bCs/>
      </w:r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style>
  <w:style w:type="table" w:styleId="DzTablo2">
    <w:name w:val="Plain Table 2"/>
    <w:basedOn w:val="NormalTablo"/>
    <w:uiPriority w:val="42"/>
    <w:semiHidden/>
    <w:rsid w:val="00540D5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DzTablo3">
    <w:name w:val="Plain Table 3"/>
    <w:basedOn w:val="NormalTablo"/>
    <w:uiPriority w:val="43"/>
    <w:semiHidden/>
    <w:rsid w:val="00540D5A"/>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tblStylePr w:type="neCell">
      <w:tblPr/>
      <w:tcPr>
        <w:tcBorders>
          <w:left w:val="nil"/>
        </w:tcBorders>
      </w:tcPr>
    </w:tblStylePr>
    <w:tblStylePr w:type="nwCell">
      <w:tblPr/>
      <w:tcPr>
        <w:tcBorders>
          <w:right w:val="nil"/>
        </w:tcBorders>
      </w:tcPr>
    </w:tblStylePr>
  </w:style>
  <w:style w:type="table" w:styleId="DzTablo4">
    <w:name w:val="Plain Table 4"/>
    <w:basedOn w:val="NormalTablo"/>
    <w:uiPriority w:val="44"/>
    <w:semiHidden/>
    <w:rsid w:val="00540D5A"/>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style>
  <w:style w:type="table" w:styleId="DzTablo5">
    <w:name w:val="Plain Table 5"/>
    <w:basedOn w:val="NormalTablo"/>
    <w:uiPriority w:val="45"/>
    <w:semiHidden/>
    <w:rsid w:val="00540D5A"/>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0072BC" w:themeFill="background1"/>
      </w:tc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AkllKprBalant1">
    <w:name w:val="Akıllı Köprü Bağlantı1"/>
    <w:basedOn w:val="VarsaylanParagrafYazTipi"/>
    <w:uiPriority w:val="99"/>
    <w:semiHidden/>
    <w:unhideWhenUsed/>
    <w:rsid w:val="00540D5A"/>
    <w:rPr>
      <w:u w:val="dotted"/>
    </w:rPr>
  </w:style>
  <w:style w:type="character" w:customStyle="1" w:styleId="AkllBalant1">
    <w:name w:val="Akıllı Bağlantı1"/>
    <w:basedOn w:val="VarsaylanParagrafYazTipi"/>
    <w:uiPriority w:val="99"/>
    <w:semiHidden/>
    <w:unhideWhenUsed/>
    <w:rsid w:val="00540D5A"/>
    <w:rPr>
      <w:color w:val="0000FF"/>
      <w:u w:val="single"/>
      <w:shd w:val="clear" w:color="auto" w:fill="F3F2F1"/>
    </w:rPr>
  </w:style>
  <w:style w:type="table" w:styleId="TabloKlavuzuAk">
    <w:name w:val="Grid Table Light"/>
    <w:basedOn w:val="NormalTablo"/>
    <w:uiPriority w:val="40"/>
    <w:semiHidden/>
    <w:rsid w:val="00540D5A"/>
    <w:tblPr>
      <w:tblBorders>
        <w:top w:val="single" w:sz="4" w:space="0" w:color="00548C" w:themeColor="background1" w:themeShade="BF"/>
        <w:left w:val="single" w:sz="4" w:space="0" w:color="00548C" w:themeColor="background1" w:themeShade="BF"/>
        <w:bottom w:val="single" w:sz="4" w:space="0" w:color="00548C" w:themeColor="background1" w:themeShade="BF"/>
        <w:right w:val="single" w:sz="4" w:space="0" w:color="00548C" w:themeColor="background1" w:themeShade="BF"/>
        <w:insideH w:val="single" w:sz="4" w:space="0" w:color="00548C" w:themeColor="background1" w:themeShade="BF"/>
        <w:insideV w:val="single" w:sz="4" w:space="0" w:color="00548C" w:themeColor="background1" w:themeShade="BF"/>
      </w:tblBorders>
    </w:tblPr>
  </w:style>
  <w:style w:type="character" w:customStyle="1" w:styleId="JuJudgesChar">
    <w:name w:val="Ju_Judges Char"/>
    <w:link w:val="JuJudges"/>
    <w:uiPriority w:val="32"/>
    <w:rsid w:val="00EC48B7"/>
    <w:rPr>
      <w:sz w:val="24"/>
      <w:szCs w:val="24"/>
      <w:lang w:val="fr-FR"/>
    </w:rPr>
  </w:style>
  <w:style w:type="paragraph" w:customStyle="1" w:styleId="s899b3e47">
    <w:name w:val="s899b3e47"/>
    <w:basedOn w:val="Normal"/>
    <w:rsid w:val="00C817CA"/>
    <w:pPr>
      <w:spacing w:before="100" w:beforeAutospacing="1" w:after="100" w:afterAutospacing="1"/>
    </w:pPr>
    <w:rPr>
      <w:rFonts w:ascii="Times New Roman" w:eastAsia="Times New Roman" w:hAnsi="Times New Roman" w:cs="Times New Roman"/>
      <w:lang w:val="tr-TR" w:eastAsia="tr-TR"/>
    </w:rPr>
  </w:style>
  <w:style w:type="character" w:customStyle="1" w:styleId="s68f5eaef">
    <w:name w:val="s68f5eaef"/>
    <w:basedOn w:val="VarsaylanParagrafYazTipi"/>
    <w:rsid w:val="00C817CA"/>
  </w:style>
  <w:style w:type="paragraph" w:customStyle="1" w:styleId="scf37f339">
    <w:name w:val="scf37f339"/>
    <w:basedOn w:val="Normal"/>
    <w:rsid w:val="00F35DD8"/>
    <w:pPr>
      <w:spacing w:before="100" w:beforeAutospacing="1" w:after="100" w:afterAutospacing="1"/>
    </w:pPr>
    <w:rPr>
      <w:rFonts w:ascii="Times New Roman" w:eastAsia="Times New Roman" w:hAnsi="Times New Roman" w:cs="Times New Roman"/>
      <w:lang w:val="tr-TR" w:eastAsia="tr-TR"/>
    </w:rPr>
  </w:style>
  <w:style w:type="character" w:customStyle="1" w:styleId="sb8d990e2">
    <w:name w:val="sb8d990e2"/>
    <w:basedOn w:val="VarsaylanParagrafYazTipi"/>
    <w:rsid w:val="00F35DD8"/>
  </w:style>
  <w:style w:type="paragraph" w:customStyle="1" w:styleId="sf943e873">
    <w:name w:val="sf943e873"/>
    <w:basedOn w:val="Normal"/>
    <w:rsid w:val="00F35DD8"/>
    <w:pPr>
      <w:spacing w:before="100" w:beforeAutospacing="1" w:after="100" w:afterAutospacing="1"/>
    </w:pPr>
    <w:rPr>
      <w:rFonts w:ascii="Times New Roman" w:eastAsia="Times New Roman" w:hAnsi="Times New Roman" w:cs="Times New Roman"/>
      <w:lang w:val="tr-TR" w:eastAsia="tr-TR"/>
    </w:rPr>
  </w:style>
  <w:style w:type="character" w:customStyle="1" w:styleId="s6b621b36">
    <w:name w:val="s6b621b36"/>
    <w:basedOn w:val="VarsaylanParagrafYazTipi"/>
    <w:rsid w:val="00F35DD8"/>
  </w:style>
  <w:style w:type="paragraph" w:customStyle="1" w:styleId="s4da71036">
    <w:name w:val="s4da71036"/>
    <w:basedOn w:val="Normal"/>
    <w:rsid w:val="00F35DD8"/>
    <w:pPr>
      <w:spacing w:before="100" w:beforeAutospacing="1" w:after="100" w:afterAutospacing="1"/>
    </w:pPr>
    <w:rPr>
      <w:rFonts w:ascii="Times New Roman" w:eastAsia="Times New Roman" w:hAnsi="Times New Roman" w:cs="Times New Roman"/>
      <w:lang w:val="tr-TR" w:eastAsia="tr-TR"/>
    </w:rPr>
  </w:style>
  <w:style w:type="paragraph" w:customStyle="1" w:styleId="s6962c56">
    <w:name w:val="s6962c56"/>
    <w:basedOn w:val="Normal"/>
    <w:rsid w:val="00F35DD8"/>
    <w:pPr>
      <w:spacing w:before="100" w:beforeAutospacing="1" w:after="100" w:afterAutospacing="1"/>
    </w:pPr>
    <w:rPr>
      <w:rFonts w:ascii="Times New Roman" w:eastAsia="Times New Roman" w:hAnsi="Times New Roman" w:cs="Times New Roman"/>
      <w:lang w:val="tr-TR" w:eastAsia="tr-TR"/>
    </w:rPr>
  </w:style>
  <w:style w:type="character" w:customStyle="1" w:styleId="s267159ca">
    <w:name w:val="s267159ca"/>
    <w:basedOn w:val="VarsaylanParagrafYazTipi"/>
    <w:rsid w:val="00F35D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9326620">
      <w:bodyDiv w:val="1"/>
      <w:marLeft w:val="0"/>
      <w:marRight w:val="0"/>
      <w:marTop w:val="0"/>
      <w:marBottom w:val="0"/>
      <w:divBdr>
        <w:top w:val="none" w:sz="0" w:space="0" w:color="auto"/>
        <w:left w:val="none" w:sz="0" w:space="0" w:color="auto"/>
        <w:bottom w:val="none" w:sz="0" w:space="0" w:color="auto"/>
        <w:right w:val="none" w:sz="0" w:space="0" w:color="auto"/>
      </w:divBdr>
    </w:div>
    <w:div w:id="1115370892">
      <w:bodyDiv w:val="1"/>
      <w:marLeft w:val="0"/>
      <w:marRight w:val="0"/>
      <w:marTop w:val="0"/>
      <w:marBottom w:val="0"/>
      <w:divBdr>
        <w:top w:val="none" w:sz="0" w:space="0" w:color="auto"/>
        <w:left w:val="none" w:sz="0" w:space="0" w:color="auto"/>
        <w:bottom w:val="none" w:sz="0" w:space="0" w:color="auto"/>
        <w:right w:val="none" w:sz="0" w:space="0" w:color="auto"/>
      </w:divBdr>
    </w:div>
    <w:div w:id="164543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https://ifade.org.tr/reports/IFOD_ECtHR_Vedat_Sorli_Third_Party_Intervention_TR.pd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94E295-2896-44A5-9085-A89056AC68D3}">
  <ds:schemaRefs>
    <ds:schemaRef ds:uri="http://schemas.microsoft.com/sharepoint/v3/contenttype/forms"/>
  </ds:schemaRefs>
</ds:datastoreItem>
</file>

<file path=customXml/itemProps2.xml><?xml version="1.0" encoding="utf-8"?>
<ds:datastoreItem xmlns:ds="http://schemas.openxmlformats.org/officeDocument/2006/customXml" ds:itemID="{BE4C6E43-F36A-43D8-91BA-FBECB2F888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B6F0F2FB-B862-4AB8-A1E9-AB5B9781CFC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206B90C-A2B7-4E2E-B896-3ECCC62BBC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6604</Words>
  <Characters>37646</Characters>
  <Application>Microsoft Office Word</Application>
  <DocSecurity>0</DocSecurity>
  <Lines>313</Lines>
  <Paragraphs>88</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ECHR</vt:lpstr>
      <vt:lpstr>ECHR</vt:lpstr>
    </vt:vector>
  </TitlesOfParts>
  <Manager/>
  <Company/>
  <LinksUpToDate>false</LinksUpToDate>
  <CharactersWithSpaces>44162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JUDF</dc:subject>
  <dc:creator/>
  <cp:keywords/>
  <cp:lastModifiedBy/>
  <cp:revision>1</cp:revision>
  <dcterms:created xsi:type="dcterms:W3CDTF">2021-10-20T21:17:00Z</dcterms:created>
  <dcterms:modified xsi:type="dcterms:W3CDTF">2021-10-23T16:25:00Z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1036</vt:i4>
  </property>
  <property fmtid="{D5CDD505-2E9C-101B-9397-08002B2CF9AE}" pid="3" name="RegisteredNo">
    <vt:lpwstr>42048/19</vt:lpwstr>
  </property>
  <property fmtid="{D5CDD505-2E9C-101B-9397-08002B2CF9AE}" pid="4" name="CASEID">
    <vt:lpwstr>1470074</vt:lpwstr>
  </property>
  <property fmtid="{D5CDD505-2E9C-101B-9397-08002B2CF9AE}" pid="5" name="ContentTypeId">
    <vt:lpwstr>0x010100558EB02BDB9E204AB350EDD385B68E10</vt:lpwstr>
  </property>
</Properties>
</file>