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A26" w:rsidRDefault="00380A26">
      <w:pPr>
        <w:pBdr>
          <w:top w:val="nil"/>
          <w:left w:val="nil"/>
          <w:bottom w:val="nil"/>
          <w:right w:val="nil"/>
          <w:between w:val="nil"/>
        </w:pBdr>
        <w:jc w:val="center"/>
        <w:rPr>
          <w:color w:val="000000"/>
        </w:rPr>
      </w:pPr>
    </w:p>
    <w:p w:rsidR="00380A26" w:rsidRDefault="00380A26">
      <w:pPr>
        <w:pBdr>
          <w:top w:val="nil"/>
          <w:left w:val="nil"/>
          <w:bottom w:val="nil"/>
          <w:right w:val="nil"/>
          <w:between w:val="nil"/>
        </w:pBdr>
        <w:jc w:val="center"/>
        <w:rPr>
          <w:color w:val="000000"/>
        </w:rPr>
      </w:pPr>
    </w:p>
    <w:p w:rsidR="00380A26" w:rsidRDefault="0059142E">
      <w:pPr>
        <w:keepNext/>
        <w:keepLines/>
        <w:pBdr>
          <w:top w:val="nil"/>
          <w:left w:val="nil"/>
          <w:bottom w:val="nil"/>
          <w:right w:val="nil"/>
          <w:between w:val="nil"/>
        </w:pBdr>
        <w:spacing w:after="280"/>
        <w:jc w:val="center"/>
        <w:rPr>
          <w:color w:val="000000"/>
        </w:rPr>
      </w:pPr>
      <w:r>
        <w:t>İKİNCİ BÖLÜM</w:t>
      </w:r>
    </w:p>
    <w:p w:rsidR="00380A26" w:rsidRDefault="0059142E">
      <w:pPr>
        <w:keepNext/>
        <w:keepLines/>
        <w:pBdr>
          <w:top w:val="nil"/>
          <w:left w:val="nil"/>
          <w:bottom w:val="nil"/>
          <w:right w:val="nil"/>
          <w:between w:val="nil"/>
        </w:pBdr>
        <w:spacing w:before="1320" w:after="280"/>
        <w:jc w:val="center"/>
        <w:rPr>
          <w:b/>
        </w:rPr>
      </w:pPr>
      <w:r>
        <w:rPr>
          <w:b/>
          <w:color w:val="000000"/>
        </w:rPr>
        <w:t>T</w:t>
      </w:r>
      <w:r>
        <w:rPr>
          <w:b/>
        </w:rPr>
        <w:t>URAN VE DİĞERLERİ KARARI</w:t>
      </w:r>
    </w:p>
    <w:p w:rsidR="00380A26" w:rsidRDefault="0059142E">
      <w:pPr>
        <w:keepNext/>
        <w:keepLines/>
        <w:pBdr>
          <w:top w:val="nil"/>
          <w:left w:val="nil"/>
          <w:bottom w:val="nil"/>
          <w:right w:val="nil"/>
          <w:between w:val="nil"/>
        </w:pBdr>
        <w:tabs>
          <w:tab w:val="right" w:pos="7938"/>
          <w:tab w:val="right" w:pos="7332"/>
        </w:tabs>
        <w:jc w:val="center"/>
        <w:rPr>
          <w:i/>
          <w:color w:val="000000"/>
        </w:rPr>
      </w:pPr>
      <w:r>
        <w:rPr>
          <w:i/>
          <w:color w:val="000000"/>
        </w:rPr>
        <w:t>(</w:t>
      </w:r>
      <w:proofErr w:type="gramStart"/>
      <w:r>
        <w:rPr>
          <w:i/>
        </w:rPr>
        <w:t>Başvuru</w:t>
      </w:r>
      <w:r w:rsidR="00E32BE0">
        <w:rPr>
          <w:i/>
          <w:color w:val="000000"/>
        </w:rPr>
        <w:t xml:space="preserve"> no. </w:t>
      </w:r>
      <w:r>
        <w:rPr>
          <w:i/>
          <w:color w:val="000000"/>
        </w:rPr>
        <w:t>75805/16</w:t>
      </w:r>
      <w:proofErr w:type="gramEnd"/>
      <w:r>
        <w:rPr>
          <w:i/>
          <w:color w:val="000000"/>
        </w:rPr>
        <w:t xml:space="preserve"> </w:t>
      </w:r>
      <w:r>
        <w:rPr>
          <w:i/>
        </w:rPr>
        <w:t>ve</w:t>
      </w:r>
      <w:r>
        <w:rPr>
          <w:i/>
          <w:color w:val="000000"/>
        </w:rPr>
        <w:t xml:space="preserve"> </w:t>
      </w:r>
      <w:r>
        <w:rPr>
          <w:i/>
        </w:rPr>
        <w:t>diğer 426 başvuru</w:t>
      </w:r>
      <w:r>
        <w:rPr>
          <w:i/>
          <w:color w:val="000000"/>
        </w:rPr>
        <w:t>)</w:t>
      </w:r>
    </w:p>
    <w:p w:rsidR="00380A26" w:rsidRDefault="00380A26">
      <w:pPr>
        <w:keepNext/>
        <w:keepLines/>
        <w:pBdr>
          <w:top w:val="nil"/>
          <w:left w:val="nil"/>
          <w:bottom w:val="nil"/>
          <w:right w:val="nil"/>
          <w:between w:val="nil"/>
        </w:pBdr>
        <w:spacing w:after="280"/>
        <w:jc w:val="center"/>
        <w:rPr>
          <w:color w:val="000000"/>
        </w:rPr>
      </w:pPr>
    </w:p>
    <w:p w:rsidR="00380A26" w:rsidRDefault="00380A26">
      <w:pPr>
        <w:keepNext/>
        <w:keepLines/>
        <w:pBdr>
          <w:top w:val="nil"/>
          <w:left w:val="nil"/>
          <w:bottom w:val="nil"/>
          <w:right w:val="nil"/>
          <w:between w:val="nil"/>
        </w:pBdr>
        <w:spacing w:after="280"/>
        <w:jc w:val="center"/>
        <w:rPr>
          <w:color w:val="000000"/>
        </w:rPr>
      </w:pPr>
    </w:p>
    <w:p w:rsidR="00380A26" w:rsidRDefault="00380A26">
      <w:pPr>
        <w:keepNext/>
        <w:keepLines/>
        <w:pBdr>
          <w:top w:val="nil"/>
          <w:left w:val="nil"/>
          <w:bottom w:val="nil"/>
          <w:right w:val="nil"/>
          <w:between w:val="nil"/>
        </w:pBdr>
        <w:spacing w:after="280"/>
        <w:jc w:val="center"/>
        <w:rPr>
          <w:color w:val="000000"/>
        </w:rPr>
      </w:pPr>
    </w:p>
    <w:p w:rsidR="00380A26" w:rsidRDefault="0059142E">
      <w:pPr>
        <w:keepNext/>
        <w:keepLines/>
        <w:pBdr>
          <w:top w:val="nil"/>
          <w:left w:val="nil"/>
          <w:bottom w:val="nil"/>
          <w:right w:val="nil"/>
          <w:between w:val="nil"/>
        </w:pBdr>
        <w:spacing w:after="280"/>
        <w:jc w:val="center"/>
        <w:rPr>
          <w:color w:val="000000"/>
        </w:rPr>
      </w:pPr>
      <w:r>
        <w:t>KARAR</w:t>
      </w:r>
      <w:r>
        <w:rPr>
          <w:color w:val="000000"/>
        </w:rPr>
        <w:br/>
      </w:r>
    </w:p>
    <w:p w:rsidR="00380A26" w:rsidRDefault="0059142E">
      <w:pPr>
        <w:keepNext/>
        <w:keepLines/>
        <w:pBdr>
          <w:top w:val="single" w:sz="4" w:space="0" w:color="000000"/>
          <w:left w:val="single" w:sz="4" w:space="0" w:color="000000"/>
          <w:bottom w:val="single" w:sz="4" w:space="0" w:color="000000"/>
          <w:right w:val="single" w:sz="4" w:space="0" w:color="000000"/>
          <w:between w:val="nil"/>
        </w:pBdr>
        <w:spacing w:after="280"/>
        <w:jc w:val="both"/>
        <w:rPr>
          <w:color w:val="000000"/>
        </w:rPr>
      </w:pPr>
      <w:r>
        <w:t xml:space="preserve">Madde </w:t>
      </w:r>
      <w:r>
        <w:rPr>
          <w:color w:val="000000"/>
        </w:rPr>
        <w:t xml:space="preserve">5 § 1 • </w:t>
      </w:r>
      <w:r>
        <w:t>Hukuka uygun tutuklama</w:t>
      </w:r>
      <w:r>
        <w:rPr>
          <w:color w:val="000000"/>
        </w:rPr>
        <w:t xml:space="preserve"> • </w:t>
      </w:r>
      <w:r>
        <w:t xml:space="preserve">Darbe girişimi sonrasında yasadışı örgüt üyeliğinden şüphelenilen yargı mensuplarının, </w:t>
      </w:r>
      <w:r>
        <w:rPr>
          <w:i/>
        </w:rPr>
        <w:t xml:space="preserve">suçüstü </w:t>
      </w:r>
      <w:r>
        <w:t>kavramının makul olmayan bir şekilde genişletilmesi temelinde tutuklanması</w:t>
      </w:r>
    </w:p>
    <w:p w:rsidR="00380A26" w:rsidRDefault="00380A26">
      <w:pPr>
        <w:pBdr>
          <w:top w:val="nil"/>
          <w:left w:val="nil"/>
          <w:bottom w:val="nil"/>
          <w:right w:val="nil"/>
          <w:between w:val="nil"/>
        </w:pBdr>
        <w:ind w:firstLine="284"/>
        <w:jc w:val="both"/>
        <w:rPr>
          <w:color w:val="000000"/>
        </w:rPr>
      </w:pPr>
    </w:p>
    <w:p w:rsidR="00380A26" w:rsidRDefault="0059142E">
      <w:pPr>
        <w:keepNext/>
        <w:keepLines/>
        <w:pBdr>
          <w:top w:val="nil"/>
          <w:left w:val="nil"/>
          <w:bottom w:val="nil"/>
          <w:right w:val="nil"/>
          <w:between w:val="nil"/>
        </w:pBdr>
        <w:spacing w:after="280"/>
        <w:jc w:val="center"/>
        <w:rPr>
          <w:color w:val="000000"/>
        </w:rPr>
      </w:pPr>
      <w:r>
        <w:rPr>
          <w:color w:val="000000"/>
        </w:rPr>
        <w:t>STRA</w:t>
      </w:r>
      <w:r>
        <w:t>ZBURG</w:t>
      </w:r>
    </w:p>
    <w:p w:rsidR="00380A26" w:rsidRDefault="0059142E">
      <w:pPr>
        <w:keepNext/>
        <w:keepLines/>
        <w:pBdr>
          <w:top w:val="nil"/>
          <w:left w:val="nil"/>
          <w:bottom w:val="nil"/>
          <w:right w:val="nil"/>
          <w:between w:val="nil"/>
        </w:pBdr>
        <w:spacing w:after="280"/>
        <w:jc w:val="center"/>
        <w:rPr>
          <w:color w:val="000000"/>
        </w:rPr>
      </w:pPr>
      <w:proofErr w:type="gramStart"/>
      <w:r>
        <w:rPr>
          <w:color w:val="000000"/>
        </w:rPr>
        <w:t>23</w:t>
      </w:r>
      <w:proofErr w:type="gramEnd"/>
      <w:r>
        <w:rPr>
          <w:color w:val="000000"/>
        </w:rPr>
        <w:t xml:space="preserve"> </w:t>
      </w:r>
      <w:r>
        <w:t>Kasım</w:t>
      </w:r>
      <w:r>
        <w:rPr>
          <w:color w:val="000000"/>
        </w:rPr>
        <w:t xml:space="preserve"> 2021</w:t>
      </w:r>
    </w:p>
    <w:p w:rsidR="00380A26" w:rsidRDefault="00380A26">
      <w:pPr>
        <w:pBdr>
          <w:top w:val="nil"/>
          <w:left w:val="nil"/>
          <w:bottom w:val="nil"/>
          <w:right w:val="nil"/>
          <w:between w:val="nil"/>
        </w:pBdr>
        <w:ind w:firstLine="284"/>
        <w:jc w:val="both"/>
        <w:rPr>
          <w:color w:val="000000"/>
        </w:rPr>
      </w:pPr>
    </w:p>
    <w:p w:rsidR="00380A26" w:rsidRDefault="00380A26">
      <w:pPr>
        <w:pBdr>
          <w:top w:val="nil"/>
          <w:left w:val="nil"/>
          <w:bottom w:val="nil"/>
          <w:right w:val="nil"/>
          <w:between w:val="nil"/>
        </w:pBdr>
        <w:ind w:firstLine="284"/>
        <w:jc w:val="both"/>
        <w:rPr>
          <w:color w:val="000000"/>
        </w:rPr>
      </w:pPr>
    </w:p>
    <w:p w:rsidR="00380A26" w:rsidRDefault="00380A26">
      <w:pPr>
        <w:pBdr>
          <w:top w:val="nil"/>
          <w:left w:val="nil"/>
          <w:bottom w:val="nil"/>
          <w:right w:val="nil"/>
          <w:between w:val="nil"/>
        </w:pBdr>
        <w:ind w:firstLine="284"/>
        <w:jc w:val="both"/>
        <w:rPr>
          <w:color w:val="000000"/>
        </w:rPr>
      </w:pPr>
    </w:p>
    <w:p w:rsidR="00380A26" w:rsidRDefault="0059142E">
      <w:pPr>
        <w:pBdr>
          <w:top w:val="nil"/>
          <w:left w:val="nil"/>
          <w:bottom w:val="nil"/>
          <w:right w:val="nil"/>
          <w:between w:val="nil"/>
        </w:pBdr>
        <w:jc w:val="center"/>
        <w:rPr>
          <w:i/>
          <w:sz w:val="22"/>
          <w:szCs w:val="22"/>
        </w:rPr>
      </w:pPr>
      <w:r>
        <w:rPr>
          <w:i/>
          <w:sz w:val="22"/>
          <w:szCs w:val="22"/>
        </w:rPr>
        <w:t>İşbu karar, Sözleş</w:t>
      </w:r>
      <w:proofErr w:type="gramStart"/>
      <w:r>
        <w:rPr>
          <w:i/>
          <w:sz w:val="22"/>
          <w:szCs w:val="22"/>
        </w:rPr>
        <w:t>me’nin</w:t>
      </w:r>
      <w:proofErr w:type="gramEnd"/>
      <w:r>
        <w:rPr>
          <w:i/>
          <w:sz w:val="22"/>
          <w:szCs w:val="22"/>
        </w:rPr>
        <w:t xml:space="preserve"> 44 § 2 maddesinde öngörülen koşullar çerçevesinde kesinleşecektir. Bazı şekli değişikliklere tabi tutulabilir.</w:t>
      </w:r>
    </w:p>
    <w:p w:rsidR="00380A26" w:rsidRDefault="00380A26">
      <w:pPr>
        <w:pBdr>
          <w:top w:val="nil"/>
          <w:left w:val="nil"/>
          <w:bottom w:val="nil"/>
          <w:right w:val="nil"/>
          <w:between w:val="nil"/>
        </w:pBdr>
        <w:rPr>
          <w:i/>
          <w:sz w:val="22"/>
          <w:szCs w:val="22"/>
        </w:rPr>
        <w:sectPr w:rsidR="00380A26">
          <w:headerReference w:type="default" r:id="rId8"/>
          <w:footerReference w:type="default" r:id="rId9"/>
          <w:headerReference w:type="first" r:id="rId10"/>
          <w:footerReference w:type="first" r:id="rId11"/>
          <w:pgSz w:w="11900" w:h="16840"/>
          <w:pgMar w:top="2274" w:right="2274" w:bottom="2274" w:left="2274" w:header="1701" w:footer="720" w:gutter="0"/>
          <w:pgNumType w:start="1"/>
          <w:cols w:space="708"/>
          <w:titlePg/>
        </w:sectPr>
      </w:pPr>
    </w:p>
    <w:p w:rsidR="00380A26" w:rsidRDefault="0059142E">
      <w:pPr>
        <w:pBdr>
          <w:top w:val="nil"/>
          <w:left w:val="nil"/>
          <w:bottom w:val="nil"/>
          <w:right w:val="nil"/>
          <w:between w:val="nil"/>
        </w:pBdr>
        <w:ind w:firstLine="284"/>
        <w:jc w:val="both"/>
        <w:rPr>
          <w:b/>
          <w:color w:val="000000"/>
        </w:rPr>
      </w:pPr>
      <w:r>
        <w:rPr>
          <w:b/>
        </w:rPr>
        <w:lastRenderedPageBreak/>
        <w:t>Turan ve diğerleri v. Türkiye davasında</w:t>
      </w:r>
      <w:r>
        <w:rPr>
          <w:b/>
          <w:color w:val="000000"/>
        </w:rPr>
        <w:t>,</w:t>
      </w:r>
    </w:p>
    <w:p w:rsidR="00380A26" w:rsidRDefault="0059142E">
      <w:pPr>
        <w:pBdr>
          <w:top w:val="nil"/>
          <w:left w:val="nil"/>
          <w:bottom w:val="nil"/>
          <w:right w:val="nil"/>
          <w:between w:val="nil"/>
        </w:pBdr>
        <w:tabs>
          <w:tab w:val="left" w:pos="567"/>
          <w:tab w:val="left" w:pos="1134"/>
        </w:tabs>
        <w:rPr>
          <w:i/>
          <w:color w:val="000000"/>
        </w:rPr>
      </w:pPr>
      <w:r>
        <w:rPr>
          <w:color w:val="000000"/>
        </w:rPr>
        <w:tab/>
        <w:t>Jon Fridrik Kjølbro,</w:t>
      </w:r>
      <w:r>
        <w:rPr>
          <w:i/>
          <w:color w:val="000000"/>
        </w:rPr>
        <w:t xml:space="preserve"> </w:t>
      </w:r>
      <w:r>
        <w:rPr>
          <w:i/>
        </w:rPr>
        <w:t>Başkan</w:t>
      </w:r>
      <w:r>
        <w:rPr>
          <w:i/>
          <w:color w:val="000000"/>
        </w:rPr>
        <w:t>,</w:t>
      </w:r>
    </w:p>
    <w:p w:rsidR="00380A26" w:rsidRDefault="0059142E">
      <w:pPr>
        <w:pBdr>
          <w:top w:val="nil"/>
          <w:left w:val="nil"/>
          <w:bottom w:val="nil"/>
          <w:right w:val="nil"/>
          <w:between w:val="nil"/>
        </w:pBdr>
        <w:tabs>
          <w:tab w:val="left" w:pos="567"/>
          <w:tab w:val="left" w:pos="1134"/>
        </w:tabs>
        <w:rPr>
          <w:color w:val="000000"/>
        </w:rPr>
      </w:pPr>
      <w:r>
        <w:rPr>
          <w:i/>
        </w:rPr>
        <w:t xml:space="preserve">          Hakimler</w:t>
      </w:r>
      <w:r>
        <w:rPr>
          <w:i/>
          <w:color w:val="000000"/>
        </w:rPr>
        <w:br/>
      </w:r>
      <w:r>
        <w:rPr>
          <w:color w:val="000000"/>
        </w:rPr>
        <w:tab/>
        <w:t>Carlo Ranzoni,</w:t>
      </w:r>
      <w:r>
        <w:rPr>
          <w:i/>
          <w:color w:val="000000"/>
        </w:rPr>
        <w:br/>
      </w:r>
      <w:r>
        <w:rPr>
          <w:color w:val="000000"/>
        </w:rPr>
        <w:tab/>
        <w:t>Egidijus Kūris,</w:t>
      </w:r>
      <w:r>
        <w:rPr>
          <w:i/>
          <w:color w:val="000000"/>
        </w:rPr>
        <w:br/>
      </w:r>
      <w:r>
        <w:rPr>
          <w:color w:val="000000"/>
        </w:rPr>
        <w:tab/>
        <w:t>Branko Lubarda,</w:t>
      </w:r>
      <w:r>
        <w:rPr>
          <w:i/>
          <w:color w:val="000000"/>
        </w:rPr>
        <w:br/>
      </w:r>
      <w:r>
        <w:rPr>
          <w:color w:val="000000"/>
        </w:rPr>
        <w:tab/>
      </w:r>
      <w:r>
        <w:rPr>
          <w:color w:val="000000"/>
        </w:rPr>
        <w:t>Pauliine Koskelo,</w:t>
      </w:r>
      <w:r>
        <w:rPr>
          <w:i/>
          <w:color w:val="000000"/>
        </w:rPr>
        <w:br/>
      </w:r>
      <w:r>
        <w:rPr>
          <w:color w:val="000000"/>
        </w:rPr>
        <w:tab/>
        <w:t>Marko Bošnjak,</w:t>
      </w:r>
      <w:r>
        <w:rPr>
          <w:i/>
          <w:color w:val="000000"/>
        </w:rPr>
        <w:br/>
      </w:r>
      <w:r>
        <w:rPr>
          <w:color w:val="000000"/>
        </w:rPr>
        <w:tab/>
        <w:t>Saadet Yüksel,</w:t>
      </w:r>
      <w:r>
        <w:rPr>
          <w:color w:val="000000"/>
        </w:rPr>
        <w:br/>
      </w:r>
      <w:r>
        <w:t>ve</w:t>
      </w:r>
      <w:r>
        <w:rPr>
          <w:color w:val="000000"/>
        </w:rPr>
        <w:t xml:space="preserve"> </w:t>
      </w:r>
      <w:r>
        <w:rPr>
          <w:i/>
        </w:rPr>
        <w:t xml:space="preserve">Bölüm Yazı İşleri Müdürü, </w:t>
      </w:r>
      <w:r>
        <w:rPr>
          <w:color w:val="000000"/>
        </w:rPr>
        <w:t>Hasan Bakırcı</w:t>
      </w:r>
      <w:r>
        <w:t>’nın katılımıyla bölüm olarak toplanan Avrupa İnsan Hakları Mahkemesi,</w:t>
      </w:r>
      <w:r>
        <w:rPr>
          <w:color w:val="000000"/>
        </w:rPr>
        <w:t xml:space="preserve"> </w:t>
      </w:r>
    </w:p>
    <w:p w:rsidR="00380A26" w:rsidRDefault="0059142E">
      <w:pPr>
        <w:spacing w:after="120"/>
        <w:jc w:val="both"/>
      </w:pPr>
      <w:r>
        <w:t xml:space="preserve">Türkiye Cumhuriyeti aleyhine 427 Türk vatandaşı tarafından İnsan Hakları ve Temel Özgürlüklerin Korunmasına İlişkin </w:t>
      </w:r>
      <w:proofErr w:type="gramStart"/>
      <w:r>
        <w:t>Sözleşme'nin</w:t>
      </w:r>
      <w:proofErr w:type="gramEnd"/>
      <w:r>
        <w:t xml:space="preserve"> ("S</w:t>
      </w:r>
      <w:r w:rsidR="000502C6">
        <w:t xml:space="preserve">özleşme") 34. Maddesi uyarınca </w:t>
      </w:r>
      <w:r>
        <w:t>ekli tabloda belirtilen çeşitli tarihlerde Mahkeme'ye yapılan başvuruları dikkate alarak (no</w:t>
      </w:r>
      <w:r>
        <w:t>. 75805/16 ve 426 diğerleri - bakınız ekteki liste) ("başvurucular"),</w:t>
      </w:r>
    </w:p>
    <w:p w:rsidR="00380A26" w:rsidRDefault="0059142E">
      <w:pPr>
        <w:spacing w:after="120"/>
        <w:jc w:val="both"/>
      </w:pPr>
      <w:proofErr w:type="gramStart"/>
      <w:r>
        <w:t>Sözleş</w:t>
      </w:r>
      <w:r w:rsidR="000502C6">
        <w:t>me'nin</w:t>
      </w:r>
      <w:proofErr w:type="gramEnd"/>
      <w:r w:rsidR="000502C6">
        <w:t xml:space="preserve"> 5. </w:t>
      </w:r>
      <w:proofErr w:type="gramStart"/>
      <w:r w:rsidR="000502C6">
        <w:t>maddesinin</w:t>
      </w:r>
      <w:proofErr w:type="gramEnd"/>
      <w:r w:rsidR="000502C6">
        <w:t xml:space="preserve"> 1. </w:t>
      </w:r>
      <w:proofErr w:type="gramStart"/>
      <w:r w:rsidR="000502C6">
        <w:t>fıkrası</w:t>
      </w:r>
      <w:proofErr w:type="gramEnd"/>
      <w:r w:rsidR="000502C6">
        <w:t xml:space="preserve">, 3. </w:t>
      </w:r>
      <w:proofErr w:type="gramStart"/>
      <w:r w:rsidR="000502C6">
        <w:t>fıkrası</w:t>
      </w:r>
      <w:proofErr w:type="gramEnd"/>
      <w:r>
        <w:t xml:space="preserve">, 4. </w:t>
      </w:r>
      <w:proofErr w:type="gramStart"/>
      <w:r>
        <w:t>fıkrası</w:t>
      </w:r>
      <w:proofErr w:type="gramEnd"/>
      <w:r>
        <w:t xml:space="preserve"> ve 5. </w:t>
      </w:r>
      <w:proofErr w:type="gramStart"/>
      <w:r>
        <w:t>fıkrası</w:t>
      </w:r>
      <w:proofErr w:type="gramEnd"/>
      <w:r>
        <w:t xml:space="preserve"> kapsamındaki şikayetlerin Türk Hükümeti'ne ("Hükümet") bildirilmesi ve şikayetlerin geri kalanının kabul edi</w:t>
      </w:r>
      <w:r>
        <w:t>lemez olduğuna karar vererek,</w:t>
      </w:r>
    </w:p>
    <w:p w:rsidR="00380A26" w:rsidRDefault="0059142E">
      <w:pPr>
        <w:spacing w:after="120"/>
        <w:jc w:val="both"/>
      </w:pPr>
      <w:proofErr w:type="gramStart"/>
      <w:r>
        <w:t>tarafların</w:t>
      </w:r>
      <w:proofErr w:type="gramEnd"/>
      <w:r>
        <w:t xml:space="preserve"> görüşlerini göz önünde bulundurmuş,</w:t>
      </w:r>
    </w:p>
    <w:p w:rsidR="00380A26" w:rsidRDefault="0059142E">
      <w:pPr>
        <w:spacing w:after="120"/>
        <w:jc w:val="both"/>
      </w:pPr>
      <w:proofErr w:type="gramStart"/>
      <w:r>
        <w:t>19</w:t>
      </w:r>
      <w:proofErr w:type="gramEnd"/>
      <w:r>
        <w:t xml:space="preserve"> Ekim 2021'de yapılan kapalı müzakere sonrasında,</w:t>
      </w:r>
    </w:p>
    <w:p w:rsidR="00380A26" w:rsidRDefault="0059142E">
      <w:pPr>
        <w:spacing w:after="120"/>
        <w:jc w:val="both"/>
      </w:pPr>
      <w:r>
        <w:t>Aynı tarihte aşağıdaki kararı vermiştir</w:t>
      </w:r>
      <w:r>
        <w:t>:</w:t>
      </w:r>
    </w:p>
    <w:p w:rsidR="00380A26" w:rsidRDefault="0059142E">
      <w:pPr>
        <w:keepNext/>
        <w:keepLines/>
        <w:pBdr>
          <w:top w:val="nil"/>
          <w:left w:val="nil"/>
          <w:bottom w:val="nil"/>
          <w:right w:val="nil"/>
          <w:between w:val="nil"/>
        </w:pBdr>
        <w:spacing w:before="100" w:after="240"/>
        <w:jc w:val="both"/>
        <w:rPr>
          <w:smallCaps/>
          <w:color w:val="000000"/>
          <w:sz w:val="28"/>
          <w:szCs w:val="28"/>
        </w:rPr>
      </w:pPr>
      <w:r>
        <w:rPr>
          <w:smallCaps/>
          <w:sz w:val="28"/>
          <w:szCs w:val="28"/>
        </w:rPr>
        <w:t>GİRİŞ</w:t>
      </w:r>
    </w:p>
    <w:p w:rsidR="00380A26" w:rsidRDefault="0059142E">
      <w:pPr>
        <w:keepNext/>
        <w:keepLines/>
        <w:pBdr>
          <w:top w:val="nil"/>
          <w:left w:val="nil"/>
          <w:bottom w:val="nil"/>
          <w:right w:val="nil"/>
          <w:between w:val="nil"/>
        </w:pBdr>
        <w:spacing w:before="240" w:after="240"/>
        <w:ind w:firstLine="284"/>
        <w:jc w:val="both"/>
      </w:pPr>
      <w:bookmarkStart w:id="0" w:name="_heading=h.30j0zll" w:colFirst="0" w:colLast="0"/>
      <w:bookmarkEnd w:id="0"/>
      <w:proofErr w:type="gramStart"/>
      <w:r>
        <w:rPr>
          <w:color w:val="000000"/>
        </w:rPr>
        <w:t>1.  </w:t>
      </w:r>
      <w:r>
        <w:t xml:space="preserve">Mevcut başvurular esas olarak -söz konusu tarihte tümü farklı mahkeme türlerinde ve/veya düzeylerinde hakim veya savcı olarak görev yapan başvurucuların-  15 Temmuz 2016 darbe girişimi sonrasında, Türk makamları tarafından “Fetullahçı Terör Örgütü/Paralel </w:t>
      </w:r>
      <w:r>
        <w:t>Devlet Yapısı” (Fetullahçı Terör Örgütü/Paralel Devlet Yapılanması, bundan böyle “FETÖ/PDY” olarak anılacaktır) olarak adlandırılan bir örgüte üye oldukları şüphesiyle gözaltına alınmaları ve tutuklanmalarıyla ilgilidir.</w:t>
      </w:r>
      <w:proofErr w:type="gramEnd"/>
    </w:p>
    <w:p w:rsidR="00380A26" w:rsidRDefault="0059142E">
      <w:pPr>
        <w:keepNext/>
        <w:keepLines/>
        <w:pBdr>
          <w:top w:val="nil"/>
          <w:left w:val="nil"/>
          <w:bottom w:val="nil"/>
          <w:right w:val="nil"/>
          <w:between w:val="nil"/>
        </w:pBdr>
        <w:spacing w:before="100" w:after="240"/>
        <w:ind w:left="140"/>
        <w:jc w:val="both"/>
        <w:rPr>
          <w:smallCaps/>
          <w:color w:val="000000"/>
          <w:sz w:val="28"/>
          <w:szCs w:val="28"/>
        </w:rPr>
      </w:pPr>
      <w:r>
        <w:rPr>
          <w:smallCaps/>
          <w:sz w:val="28"/>
          <w:szCs w:val="28"/>
        </w:rPr>
        <w:t>OLAYLAR</w:t>
      </w:r>
    </w:p>
    <w:p w:rsidR="00380A26" w:rsidRDefault="0059142E">
      <w:pPr>
        <w:pBdr>
          <w:top w:val="nil"/>
          <w:left w:val="nil"/>
          <w:bottom w:val="nil"/>
          <w:right w:val="nil"/>
          <w:between w:val="nil"/>
        </w:pBdr>
        <w:ind w:firstLine="284"/>
        <w:jc w:val="both"/>
      </w:pPr>
      <w:r>
        <w:rPr>
          <w:color w:val="000000"/>
        </w:rPr>
        <w:t>2. </w:t>
      </w:r>
      <w:r>
        <w:t>Başvuru sahiplerinin lis</w:t>
      </w:r>
      <w:r>
        <w:t>tesi ekte verilmiştir. Mevcut başvurulara yol açan olaylar sırasında; bu kişiler Yargıtay</w:t>
      </w:r>
      <w:r w:rsidR="006E51A1">
        <w:t xml:space="preserve"> veya Danıştay üyesi ya da alt </w:t>
      </w:r>
      <w:r>
        <w:t>mahkemelerde hakim (bundan böyle “normal hakimler” olarak anılacaktır) veya savcı olarak görev yapmışlardır.</w:t>
      </w:r>
    </w:p>
    <w:p w:rsidR="00380A26" w:rsidRDefault="0059142E">
      <w:pPr>
        <w:pBdr>
          <w:top w:val="nil"/>
          <w:left w:val="nil"/>
          <w:bottom w:val="nil"/>
          <w:right w:val="nil"/>
          <w:between w:val="nil"/>
        </w:pBdr>
        <w:ind w:firstLine="284"/>
        <w:jc w:val="both"/>
      </w:pPr>
      <w:r>
        <w:rPr>
          <w:color w:val="000000"/>
        </w:rPr>
        <w:t>3.  </w:t>
      </w:r>
      <w:r>
        <w:t>Başvuruculardan bazıla</w:t>
      </w:r>
      <w:r>
        <w:t>rı, isimleri ekte belirtilen avukatlar tarafından temsil edilmiştir. Hükümetin temsilcisi Türkiye Cumhuriyeti Adalet Bakanlığı İnsan Hakları Dairesi Başkanı Hacı Ali Açıkgül’dür.</w:t>
      </w:r>
    </w:p>
    <w:p w:rsidR="00380A26" w:rsidRDefault="0059142E">
      <w:pPr>
        <w:pBdr>
          <w:top w:val="nil"/>
          <w:left w:val="nil"/>
          <w:bottom w:val="nil"/>
          <w:right w:val="nil"/>
          <w:between w:val="nil"/>
        </w:pBdr>
        <w:ind w:firstLine="284"/>
        <w:jc w:val="both"/>
      </w:pPr>
      <w:r>
        <w:rPr>
          <w:color w:val="000000"/>
        </w:rPr>
        <w:t>4.  </w:t>
      </w:r>
      <w:r>
        <w:t>Davaya ilişkin taraflarca sunulan olaylar aşağıdaki gibi özetlenebilir.</w:t>
      </w:r>
    </w:p>
    <w:p w:rsidR="00380A26" w:rsidRDefault="0059142E">
      <w:pPr>
        <w:keepNext/>
        <w:keepLines/>
        <w:numPr>
          <w:ilvl w:val="1"/>
          <w:numId w:val="5"/>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color w:val="000000"/>
        </w:rPr>
        <w:lastRenderedPageBreak/>
        <w:t>DA</w:t>
      </w:r>
      <w:r>
        <w:rPr>
          <w:smallCaps/>
        </w:rPr>
        <w:t>VANIN ARKA PLANI</w:t>
      </w:r>
    </w:p>
    <w:p w:rsidR="00380A26" w:rsidRDefault="0059142E">
      <w:pPr>
        <w:keepNext/>
        <w:keepLines/>
        <w:numPr>
          <w:ilvl w:val="2"/>
          <w:numId w:val="5"/>
        </w:numPr>
        <w:pBdr>
          <w:top w:val="nil"/>
          <w:left w:val="nil"/>
          <w:bottom w:val="nil"/>
          <w:right w:val="nil"/>
          <w:between w:val="nil"/>
        </w:pBdr>
        <w:spacing w:before="100" w:after="240"/>
        <w:jc w:val="both"/>
      </w:pPr>
      <w:r>
        <w:rPr>
          <w:b/>
        </w:rPr>
        <w:t>15 Temmuz 2016 darbe girişimi ve olağanüstü hâl ilanı</w:t>
      </w:r>
    </w:p>
    <w:p w:rsidR="00380A26" w:rsidRDefault="0059142E">
      <w:pPr>
        <w:pBdr>
          <w:top w:val="nil"/>
          <w:left w:val="nil"/>
          <w:bottom w:val="nil"/>
          <w:right w:val="nil"/>
          <w:between w:val="nil"/>
        </w:pBdr>
        <w:ind w:firstLine="284"/>
        <w:jc w:val="both"/>
      </w:pPr>
      <w:bookmarkStart w:id="1" w:name="_heading=h.1fob9te" w:colFirst="0" w:colLast="0"/>
      <w:bookmarkEnd w:id="1"/>
      <w:r>
        <w:rPr>
          <w:color w:val="000000"/>
        </w:rPr>
        <w:t>5.  </w:t>
      </w:r>
      <w:r>
        <w:t>15 Temmuz’u 16 Temmuz’a bağlayan 2016 gecesi, Türk Silahlı Kuvvetleri’nin kendilerine “Yurtta Sulh Konseyi” adını veren bir grup, demokratik olarak kurulmuş olan Türkiye Büyük Mil</w:t>
      </w:r>
      <w:r>
        <w:t xml:space="preserve">let Meclisi, Türkiye Hükümeti ve Türkiye Cumhurbaşkanı’nı devirmeyi amaçlayan bir askeri darbe girişiminde bulunmuştur. O geceki olaylarla ilgili daha fazla bilgi </w:t>
      </w:r>
      <w:r>
        <w:rPr>
          <w:i/>
        </w:rPr>
        <w:t xml:space="preserve">Baş v. Türkiye </w:t>
      </w:r>
      <w:r>
        <w:t xml:space="preserve">davasında (no. 66448/17, § </w:t>
      </w:r>
      <w:proofErr w:type="gramStart"/>
      <w:r>
        <w:t>7</w:t>
      </w:r>
      <w:proofErr w:type="gramEnd"/>
      <w:r>
        <w:t>, 3 Mart 2020) bulunabilecektir.</w:t>
      </w:r>
    </w:p>
    <w:p w:rsidR="00380A26" w:rsidRDefault="0059142E">
      <w:pPr>
        <w:pBdr>
          <w:top w:val="nil"/>
          <w:left w:val="nil"/>
          <w:bottom w:val="nil"/>
          <w:right w:val="nil"/>
          <w:between w:val="nil"/>
        </w:pBdr>
        <w:ind w:firstLine="284"/>
        <w:jc w:val="both"/>
      </w:pPr>
      <w:r>
        <w:rPr>
          <w:color w:val="000000"/>
        </w:rPr>
        <w:t>6.  </w:t>
      </w:r>
      <w:r>
        <w:t xml:space="preserve">Askeri darbe </w:t>
      </w:r>
      <w:r>
        <w:t xml:space="preserve">girişiminin ertesi günü, ulusal makamlar Pensilvanya'da (Amerika Birleşik Devletleri) yaşayan ve FETÖ/PDY'nin lideri olarak </w:t>
      </w:r>
      <w:proofErr w:type="gramStart"/>
      <w:r>
        <w:t>kabul</w:t>
      </w:r>
      <w:proofErr w:type="gramEnd"/>
      <w:r>
        <w:t xml:space="preserve"> edilen Türk vatandaşı Fetullah Gülen'le bağlantılı örgütü bu girişim ile suçlamıştır.</w:t>
      </w:r>
    </w:p>
    <w:p w:rsidR="00380A26" w:rsidRDefault="0059142E">
      <w:pPr>
        <w:pBdr>
          <w:top w:val="nil"/>
          <w:left w:val="nil"/>
          <w:bottom w:val="nil"/>
          <w:right w:val="nil"/>
          <w:between w:val="nil"/>
        </w:pBdr>
        <w:ind w:firstLine="284"/>
        <w:jc w:val="both"/>
      </w:pPr>
      <w:bookmarkStart w:id="2" w:name="_heading=h.2et92p0" w:colFirst="0" w:colLast="0"/>
      <w:bookmarkEnd w:id="2"/>
      <w:r>
        <w:rPr>
          <w:color w:val="000000"/>
        </w:rPr>
        <w:t>7.  </w:t>
      </w:r>
      <w:r>
        <w:t>16 Temmuz 2016 tarihinde Ankara Cumh</w:t>
      </w:r>
      <w:r>
        <w:t xml:space="preserve">uriyet Başsavcılığı Anayasal Düzene Karşı İşlenen Suçlar Bürosu, diğerlerinin yanı sıra, yargı içinde FETÖ/PDY üyesi olduğundan şüphelenilen kişiler hakkında re’sen ceza soruşturması başlatmıştır. Hükümet tarafından sağlanan bilgilere göre; yüksek mahkeme </w:t>
      </w:r>
      <w:r>
        <w:t xml:space="preserve">üyeleri de dahil olmak üzere hâkim ve savcılar hakkında yapılan bu soruşturma, ağır ceza mahkemelerinin görev alanına giren suçüstü hâli olduğu gerekçesiyle olağan hukuk hükümlerine göre başlatılmıştır. </w:t>
      </w:r>
    </w:p>
    <w:p w:rsidR="00380A26" w:rsidRDefault="0059142E">
      <w:pPr>
        <w:pBdr>
          <w:top w:val="nil"/>
          <w:left w:val="nil"/>
          <w:bottom w:val="nil"/>
          <w:right w:val="nil"/>
          <w:between w:val="nil"/>
        </w:pBdr>
        <w:ind w:firstLine="284"/>
        <w:jc w:val="both"/>
      </w:pPr>
      <w:r>
        <w:rPr>
          <w:color w:val="000000"/>
        </w:rPr>
        <w:t>8.  </w:t>
      </w:r>
      <w:r>
        <w:t>Aynı gün Emniyet Genel Müdürlüğü'ne verilen tali</w:t>
      </w:r>
      <w:r>
        <w:t>matta Ankara Cumhuriyet Başsavcılığı, hükümeti ve anayasal düzeni ortadan kaldırmaya teşebbüs suçunun halen devam ettiğini ve söz konusu suçu işlediğinden şüphelenilen FETÖ/PDY terör örgütü üyelerinin ülkeyi terk etme riskinin bulunduğunu belirtmiştir. Emn</w:t>
      </w:r>
      <w:r>
        <w:t xml:space="preserve">iyet Genel Müdürlüğü'nden -bazı başvurucular da dahil olmak üzere- talimatların ekinde yer </w:t>
      </w:r>
      <w:proofErr w:type="gramStart"/>
      <w:r>
        <w:t>alan</w:t>
      </w:r>
      <w:proofErr w:type="gramEnd"/>
      <w:r>
        <w:t xml:space="preserve"> tüm hâkim ve savcıların polis tarafından gözaltına alınması için tüm bölge yetkilileriyle temasa geçilmesi ve bu kişilerin gözaltına alınması ile Türk Ceza Kanu</w:t>
      </w:r>
      <w:r>
        <w:t xml:space="preserve">nu'nun 309. </w:t>
      </w:r>
      <w:proofErr w:type="gramStart"/>
      <w:r>
        <w:t>maddesi</w:t>
      </w:r>
      <w:proofErr w:type="gramEnd"/>
      <w:r>
        <w:t xml:space="preserve"> uyarınca tutuklanmak üzere savcılığa sevk edilmeleri talep edilmiştir.</w:t>
      </w:r>
    </w:p>
    <w:p w:rsidR="00380A26" w:rsidRDefault="0059142E">
      <w:pPr>
        <w:pBdr>
          <w:top w:val="nil"/>
          <w:left w:val="nil"/>
          <w:bottom w:val="nil"/>
          <w:right w:val="nil"/>
          <w:between w:val="nil"/>
        </w:pBdr>
        <w:ind w:firstLine="284"/>
        <w:jc w:val="both"/>
      </w:pPr>
      <w:r>
        <w:rPr>
          <w:color w:val="000000"/>
        </w:rPr>
        <w:t>9.  </w:t>
      </w:r>
      <w:r>
        <w:t>Hükümet, 20 Temmuz 2016 tarihinde, 21 Temmuz 2016 tarihinden başlamak üzere üç aylık bir süre için olağanüstü hâl ilan etmiştir; olağanüstü hâl daha sonra Bakanlar Kurulu tarafından üçer aylık periyotlarla uzatılmıştır.</w:t>
      </w:r>
    </w:p>
    <w:p w:rsidR="00380A26" w:rsidRDefault="0059142E">
      <w:pPr>
        <w:pBdr>
          <w:top w:val="nil"/>
          <w:left w:val="nil"/>
          <w:bottom w:val="nil"/>
          <w:right w:val="nil"/>
          <w:between w:val="nil"/>
        </w:pBdr>
        <w:ind w:firstLine="284"/>
        <w:jc w:val="both"/>
      </w:pPr>
      <w:bookmarkStart w:id="3" w:name="_heading=h.3dy6vkm" w:colFirst="0" w:colLast="0"/>
      <w:bookmarkEnd w:id="3"/>
      <w:r>
        <w:rPr>
          <w:color w:val="000000"/>
        </w:rPr>
        <w:t>10.  </w:t>
      </w:r>
      <w:r>
        <w:t>21 Temmuz 2016'da Türk makamlar</w:t>
      </w:r>
      <w:r>
        <w:t xml:space="preserve">ı, Avrupa Konseyi Genel Sekreteri'ne </w:t>
      </w:r>
      <w:proofErr w:type="gramStart"/>
      <w:r>
        <w:t>Sözleşme'nin</w:t>
      </w:r>
      <w:proofErr w:type="gramEnd"/>
      <w:r>
        <w:t xml:space="preserve"> 15. </w:t>
      </w:r>
      <w:proofErr w:type="gramStart"/>
      <w:r>
        <w:t>maddesi</w:t>
      </w:r>
      <w:proofErr w:type="gramEnd"/>
      <w:r>
        <w:t xml:space="preserve"> uyarınca Sözleşme’nin askıya alınmasına ilişkin bir bildirimde bulunmuştur (bildirimin içeriği için, bakınız </w:t>
      </w:r>
      <w:r>
        <w:rPr>
          <w:i/>
        </w:rPr>
        <w:t>Alparslan Altan v. Türkiye</w:t>
      </w:r>
      <w:r>
        <w:t xml:space="preserve">, no. 12778/17, § 66, 16 Nisan 2019 veya </w:t>
      </w:r>
      <w:r>
        <w:rPr>
          <w:i/>
        </w:rPr>
        <w:t>Baş</w:t>
      </w:r>
      <w:r>
        <w:t>, yukarıda anıl</w:t>
      </w:r>
      <w:r>
        <w:t>an § 109).</w:t>
      </w:r>
    </w:p>
    <w:p w:rsidR="00380A26" w:rsidRDefault="0059142E">
      <w:pPr>
        <w:pBdr>
          <w:top w:val="nil"/>
          <w:left w:val="nil"/>
          <w:bottom w:val="nil"/>
          <w:right w:val="nil"/>
          <w:between w:val="nil"/>
        </w:pBdr>
        <w:ind w:firstLine="284"/>
        <w:jc w:val="both"/>
      </w:pPr>
      <w:bookmarkStart w:id="4" w:name="_heading=h.4d34og8" w:colFirst="0" w:colLast="0"/>
      <w:bookmarkEnd w:id="4"/>
      <w:r>
        <w:rPr>
          <w:color w:val="000000"/>
        </w:rPr>
        <w:t>11. </w:t>
      </w:r>
      <w:r>
        <w:t xml:space="preserve">Olağanüstü hâl sırasında, Bakanlar Kurulu, </w:t>
      </w:r>
      <w:proofErr w:type="gramStart"/>
      <w:r>
        <w:t>Anayasa'nın</w:t>
      </w:r>
      <w:proofErr w:type="gramEnd"/>
      <w:r>
        <w:t xml:space="preserve"> 121. </w:t>
      </w:r>
      <w:proofErr w:type="gramStart"/>
      <w:r>
        <w:t>maddesi</w:t>
      </w:r>
      <w:proofErr w:type="gramEnd"/>
      <w:r>
        <w:t xml:space="preserve"> uyarınca birçok kanun hükmünde kararname çıkarmıştır (bakınız </w:t>
      </w:r>
      <w:r>
        <w:rPr>
          <w:i/>
        </w:rPr>
        <w:t>Baş</w:t>
      </w:r>
      <w:r>
        <w:t xml:space="preserve">, yukarıda anılan, § 52). Bunlardan biri olan 23 Temmuz 2016 tarihinde Resmi Gazete'de yayımlanan 667 sayılı Kanun Hükmünde Kararname’nin 3. </w:t>
      </w:r>
      <w:proofErr w:type="gramStart"/>
      <w:r>
        <w:t>maddesi</w:t>
      </w:r>
      <w:proofErr w:type="gramEnd"/>
      <w:r>
        <w:t xml:space="preserve"> uyarınca, Hâkimler ve Savcılar Yüksek Kurulu'nun (HSYK); Milli Güvenlik Kurulu’nca milli güvenliğe zararlı </w:t>
      </w:r>
      <w:r>
        <w:t xml:space="preserve">faaliyetlerde bulunduğu tespit </w:t>
      </w:r>
      <w:r>
        <w:lastRenderedPageBreak/>
        <w:t xml:space="preserve">edilen terör örgütlerine veya teşkilatlara, yapı veya gruplara üye, irtibatlı veya iltisaklı olan hâkim ve savcıları görevden almaya yetkili olduğu hükme bağlanmıştır. </w:t>
      </w:r>
    </w:p>
    <w:p w:rsidR="00380A26" w:rsidRDefault="0059142E">
      <w:pPr>
        <w:pBdr>
          <w:top w:val="nil"/>
          <w:left w:val="nil"/>
          <w:bottom w:val="nil"/>
          <w:right w:val="nil"/>
          <w:between w:val="nil"/>
        </w:pBdr>
        <w:ind w:firstLine="284"/>
        <w:jc w:val="both"/>
      </w:pPr>
      <w:r>
        <w:rPr>
          <w:color w:val="000000"/>
        </w:rPr>
        <w:t>12.  </w:t>
      </w:r>
      <w:r>
        <w:t>18 Temmuz 2018 tarihinde olağanüstü hâl kaldırılmış</w:t>
      </w:r>
      <w:r>
        <w:t>tır.</w:t>
      </w:r>
    </w:p>
    <w:p w:rsidR="00380A26" w:rsidRDefault="00380A26">
      <w:pPr>
        <w:pBdr>
          <w:top w:val="nil"/>
          <w:left w:val="nil"/>
          <w:bottom w:val="nil"/>
          <w:right w:val="nil"/>
          <w:between w:val="nil"/>
        </w:pBdr>
        <w:ind w:firstLine="284"/>
        <w:jc w:val="both"/>
      </w:pPr>
    </w:p>
    <w:p w:rsidR="00380A26" w:rsidRDefault="0059142E">
      <w:pPr>
        <w:keepNext/>
        <w:keepLines/>
        <w:numPr>
          <w:ilvl w:val="2"/>
          <w:numId w:val="5"/>
        </w:numPr>
        <w:pBdr>
          <w:top w:val="nil"/>
          <w:left w:val="nil"/>
          <w:bottom w:val="nil"/>
          <w:right w:val="nil"/>
          <w:between w:val="nil"/>
        </w:pBdr>
        <w:spacing w:before="100" w:after="240"/>
        <w:jc w:val="both"/>
        <w:rPr>
          <w:b/>
          <w:color w:val="000000"/>
        </w:rPr>
      </w:pPr>
      <w:r>
        <w:rPr>
          <w:b/>
        </w:rPr>
        <w:t>Açığa alma ve ihraç etme</w:t>
      </w:r>
    </w:p>
    <w:p w:rsidR="00380A26" w:rsidRDefault="0059142E">
      <w:pPr>
        <w:keepNext/>
        <w:keepLines/>
        <w:numPr>
          <w:ilvl w:val="3"/>
          <w:numId w:val="5"/>
        </w:numPr>
        <w:pBdr>
          <w:top w:val="nil"/>
          <w:left w:val="nil"/>
          <w:bottom w:val="nil"/>
          <w:right w:val="nil"/>
          <w:between w:val="nil"/>
        </w:pBdr>
        <w:spacing w:before="100" w:after="120"/>
        <w:jc w:val="both"/>
      </w:pPr>
      <w:r>
        <w:rPr>
          <w:i/>
          <w:color w:val="000000"/>
        </w:rPr>
        <w:t>Normal h</w:t>
      </w:r>
      <w:r>
        <w:t>â</w:t>
      </w:r>
      <w:r>
        <w:rPr>
          <w:i/>
          <w:color w:val="000000"/>
        </w:rPr>
        <w:t>kim ve</w:t>
      </w:r>
      <w:r>
        <w:rPr>
          <w:i/>
        </w:rPr>
        <w:t xml:space="preserve"> savcıların açığa alınması</w:t>
      </w:r>
    </w:p>
    <w:p w:rsidR="00380A26" w:rsidRDefault="0059142E">
      <w:pPr>
        <w:pBdr>
          <w:top w:val="nil"/>
          <w:left w:val="nil"/>
          <w:bottom w:val="nil"/>
          <w:right w:val="nil"/>
          <w:between w:val="nil"/>
        </w:pBdr>
        <w:ind w:firstLine="284"/>
        <w:jc w:val="both"/>
      </w:pPr>
      <w:r>
        <w:rPr>
          <w:color w:val="000000"/>
        </w:rPr>
        <w:t>13.  </w:t>
      </w:r>
      <w:r>
        <w:t xml:space="preserve">16 Temmuz 2016 tarihinde HSYK 3.Dairesi, FETÖ/PDY üyesi olduğundan şüphelenilen hâkim ve savcılar hakkında Ankara Cumhuriyet </w:t>
      </w:r>
      <w:proofErr w:type="gramStart"/>
      <w:r>
        <w:t>Başsavcılığı’nın</w:t>
      </w:r>
      <w:proofErr w:type="gramEnd"/>
      <w:r>
        <w:t xml:space="preserve"> talimatı doğrultusunda ceza soruştur</w:t>
      </w:r>
      <w:r>
        <w:t xml:space="preserve">ması başlatıldığını kaydetmiştir (bakınız yukarıda 7. paragraf). HSYK 3. Dairesince HSYK </w:t>
      </w:r>
      <w:proofErr w:type="gramStart"/>
      <w:r>
        <w:t>Başkanlığı'na</w:t>
      </w:r>
      <w:proofErr w:type="gramEnd"/>
      <w:r>
        <w:t xml:space="preserve"> 2802 sayılı Hâkimler ve Savcılar Kanunu'nun (“2802 sayılı Kanun”) 82. </w:t>
      </w:r>
      <w:proofErr w:type="gramStart"/>
      <w:r>
        <w:t>maddesi</w:t>
      </w:r>
      <w:proofErr w:type="gramEnd"/>
      <w:r>
        <w:t xml:space="preserve"> uyarınca soruşturma açılmasına onay verilmesi yönünde öneride bulunulmasına</w:t>
      </w:r>
      <w:r>
        <w:t xml:space="preserve"> karar verilmiştir (bakınız </w:t>
      </w:r>
      <w:r>
        <w:rPr>
          <w:i/>
        </w:rPr>
        <w:t>Baş</w:t>
      </w:r>
      <w:r>
        <w:t>, yukarıda anılan,  § 67,  2802 sayılı Kanun’un ilgili bölümü için ).</w:t>
      </w:r>
    </w:p>
    <w:p w:rsidR="00380A26" w:rsidRDefault="0059142E">
      <w:pPr>
        <w:pBdr>
          <w:top w:val="nil"/>
          <w:left w:val="nil"/>
          <w:bottom w:val="nil"/>
          <w:right w:val="nil"/>
          <w:between w:val="nil"/>
        </w:pBdr>
        <w:ind w:firstLine="284"/>
        <w:jc w:val="both"/>
      </w:pPr>
      <w:r>
        <w:rPr>
          <w:color w:val="000000"/>
        </w:rPr>
        <w:t>14. </w:t>
      </w:r>
      <w:r>
        <w:t xml:space="preserve"> Aynı gün HSYK 2. Dairesi olağanüstü bir toplantı gerçekleştirmiştir. 3. Daire'nin soruşturma açılması önerisinin HSYK başkanı tarafından </w:t>
      </w:r>
      <w:proofErr w:type="gramStart"/>
      <w:r>
        <w:t>kabul</w:t>
      </w:r>
      <w:proofErr w:type="gramEnd"/>
      <w:r>
        <w:t xml:space="preserve"> edildiğ</w:t>
      </w:r>
      <w:r>
        <w:t>i ve Adalet Bakanlığı Teftiş Kurulu Başkanlığı'nın bir başmüfettiş atandığı belirtilmiştir. HSYK 2. Dairesi, başmüfettiş tarafından hazırlanan rapora dayanarak - bazı başvurucular da dahil olmak üzere - 2.735 hâkim ve savcının 2802 Sayılı Kanun’un 77(1) ve</w:t>
      </w:r>
      <w:r>
        <w:t xml:space="preserve"> 81(1) maddeleri uyarınca darbe girişimini azmettiren terör örgütüne üye oldukları ve görevlerinde kalmalarının soruşturmanın ilerlemesini engelleyeceği, yargının yetki ve itibarını zedeleyeceği yönünde kuvvetli şüphe bulunduğu gerekçesiyle üç ay süreyle g</w:t>
      </w:r>
      <w:r>
        <w:t xml:space="preserve">örevden uzaklaştırılmalarına karar vermiştir. Karar, darbe girişiminden önce gönderilen soruşturma dosyalarındaki bilgi ve belgeler ile istihbarat servislerinin araştırmaları sonucunda elde ettiği bilgilere dayanılarak verilmiştir. </w:t>
      </w:r>
      <w:proofErr w:type="gramStart"/>
      <w:r>
        <w:t>HSYK'nın</w:t>
      </w:r>
      <w:proofErr w:type="gramEnd"/>
      <w:r>
        <w:t xml:space="preserve"> kararına ilişki</w:t>
      </w:r>
      <w:r>
        <w:t xml:space="preserve">n daha fazla ayrıntı </w:t>
      </w:r>
      <w:r>
        <w:rPr>
          <w:i/>
        </w:rPr>
        <w:t>Baş</w:t>
      </w:r>
      <w:r>
        <w:t xml:space="preserve"> davasınd</w:t>
      </w:r>
      <w:r w:rsidR="00DF2987">
        <w:t>a bulunabilecektir. (</w:t>
      </w:r>
      <w:proofErr w:type="gramStart"/>
      <w:r w:rsidR="00DF2987">
        <w:t>aynı</w:t>
      </w:r>
      <w:proofErr w:type="gramEnd"/>
      <w:r w:rsidR="00DF2987">
        <w:t xml:space="preserve"> yerde</w:t>
      </w:r>
      <w:r>
        <w:t>, §§ 17-20).</w:t>
      </w:r>
    </w:p>
    <w:p w:rsidR="00380A26" w:rsidRDefault="0059142E">
      <w:pPr>
        <w:pBdr>
          <w:top w:val="nil"/>
          <w:left w:val="nil"/>
          <w:bottom w:val="nil"/>
          <w:right w:val="nil"/>
          <w:between w:val="nil"/>
        </w:pBdr>
        <w:ind w:firstLine="284"/>
        <w:jc w:val="both"/>
      </w:pPr>
      <w:r>
        <w:rPr>
          <w:color w:val="000000"/>
        </w:rPr>
        <w:t>15. </w:t>
      </w:r>
      <w:r>
        <w:t>Hükümet tarafından sağlanan bilgilerden, HSYK'nın 19 ve 22 Temmuz, 10 Ağustos ve 13 Ekim 2016 tarihlerinde aldığı kararlarla - bazı başvurucular da dahil olmak üzere - daha f</w:t>
      </w:r>
      <w:r>
        <w:t>azla hakim ve savcının 16 Temmuz 2016 tarihli karara ilişkin benzer gerekçelerle görevlerinden uzaklaştırılmasına karar verdiği anlaşılmaktadır.</w:t>
      </w:r>
    </w:p>
    <w:p w:rsidR="00380A26" w:rsidRDefault="00380A26">
      <w:pPr>
        <w:pBdr>
          <w:top w:val="nil"/>
          <w:left w:val="nil"/>
          <w:bottom w:val="nil"/>
          <w:right w:val="nil"/>
          <w:between w:val="nil"/>
        </w:pBdr>
        <w:ind w:firstLine="284"/>
        <w:jc w:val="both"/>
      </w:pPr>
    </w:p>
    <w:p w:rsidR="00380A26" w:rsidRDefault="0059142E">
      <w:pPr>
        <w:keepNext/>
        <w:keepLines/>
        <w:numPr>
          <w:ilvl w:val="3"/>
          <w:numId w:val="5"/>
        </w:numPr>
        <w:pBdr>
          <w:top w:val="nil"/>
          <w:left w:val="nil"/>
          <w:bottom w:val="nil"/>
          <w:right w:val="nil"/>
          <w:between w:val="nil"/>
        </w:pBdr>
        <w:spacing w:before="100" w:after="120"/>
        <w:jc w:val="both"/>
      </w:pPr>
      <w:r>
        <w:rPr>
          <w:i/>
          <w:color w:val="000000"/>
        </w:rPr>
        <w:t xml:space="preserve">Yargıtay ve Danıştay </w:t>
      </w:r>
      <w:r>
        <w:rPr>
          <w:i/>
        </w:rPr>
        <w:t>üyelerinin açığa alınması</w:t>
      </w:r>
    </w:p>
    <w:p w:rsidR="00380A26" w:rsidRDefault="0059142E">
      <w:pPr>
        <w:pBdr>
          <w:top w:val="nil"/>
          <w:left w:val="nil"/>
          <w:bottom w:val="nil"/>
          <w:right w:val="nil"/>
          <w:between w:val="nil"/>
        </w:pBdr>
        <w:ind w:firstLine="284"/>
        <w:jc w:val="both"/>
        <w:rPr>
          <w:color w:val="000000"/>
        </w:rPr>
      </w:pPr>
      <w:r>
        <w:rPr>
          <w:color w:val="000000"/>
        </w:rPr>
        <w:t>16.  17 Temmuz 2016 tarihinde Yargıtay 1. Başkanlık Kurulu (</w:t>
      </w:r>
      <w:r>
        <w:t>2</w:t>
      </w:r>
      <w:r>
        <w:rPr>
          <w:color w:val="000000"/>
        </w:rPr>
        <w:t>44/a sayılı</w:t>
      </w:r>
      <w:r>
        <w:t>)</w:t>
      </w:r>
      <w:r>
        <w:rPr>
          <w:color w:val="000000"/>
        </w:rPr>
        <w:t xml:space="preserve"> bir kararla Yargıtay Cumhuriyet Başsavcılığınca, </w:t>
      </w:r>
      <w:r>
        <w:t>başvuruculardan bazıları da dahil,</w:t>
      </w:r>
      <w:r>
        <w:rPr>
          <w:color w:val="000000"/>
        </w:rPr>
        <w:t xml:space="preserve"> isimleri açıklanan Yargıtay üyelerinin mevcut yetkilerinin kaldırılmasına karar ver</w:t>
      </w:r>
      <w:r>
        <w:t>miştir. B</w:t>
      </w:r>
      <w:r>
        <w:rPr>
          <w:color w:val="000000"/>
        </w:rPr>
        <w:t xml:space="preserve">enzer bir karar </w:t>
      </w:r>
      <w:r>
        <w:t>(2016/27 sayılı)</w:t>
      </w:r>
      <w:r>
        <w:rPr>
          <w:color w:val="000000"/>
        </w:rPr>
        <w:t xml:space="preserve"> Danıştay Başkanlık Kurulu tarafınd</w:t>
      </w:r>
      <w:r>
        <w:rPr>
          <w:color w:val="000000"/>
        </w:rPr>
        <w:t>an aynı tarihte, başvur</w:t>
      </w:r>
      <w:r>
        <w:t>ucu</w:t>
      </w:r>
      <w:r>
        <w:rPr>
          <w:color w:val="000000"/>
        </w:rPr>
        <w:t>ların bir kısmı da dahil olmak üzere ilgili üyeleri hakkında verilmiştir.</w:t>
      </w:r>
    </w:p>
    <w:p w:rsidR="00380A26" w:rsidRDefault="00380A26">
      <w:pPr>
        <w:pBdr>
          <w:top w:val="nil"/>
          <w:left w:val="nil"/>
          <w:bottom w:val="nil"/>
          <w:right w:val="nil"/>
          <w:between w:val="nil"/>
        </w:pBdr>
        <w:ind w:firstLine="284"/>
        <w:jc w:val="both"/>
      </w:pPr>
    </w:p>
    <w:p w:rsidR="00380A26" w:rsidRDefault="0059142E">
      <w:pPr>
        <w:keepNext/>
        <w:keepLines/>
        <w:numPr>
          <w:ilvl w:val="3"/>
          <w:numId w:val="5"/>
        </w:numPr>
        <w:pBdr>
          <w:top w:val="nil"/>
          <w:left w:val="nil"/>
          <w:bottom w:val="nil"/>
          <w:right w:val="nil"/>
          <w:between w:val="nil"/>
        </w:pBdr>
        <w:spacing w:before="100" w:after="120"/>
        <w:jc w:val="both"/>
      </w:pPr>
      <w:r>
        <w:rPr>
          <w:i/>
          <w:color w:val="000000"/>
        </w:rPr>
        <w:lastRenderedPageBreak/>
        <w:t>İhraç edilme</w:t>
      </w:r>
    </w:p>
    <w:p w:rsidR="00380A26" w:rsidRDefault="0059142E">
      <w:pPr>
        <w:pBdr>
          <w:top w:val="nil"/>
          <w:left w:val="nil"/>
          <w:bottom w:val="nil"/>
          <w:right w:val="nil"/>
          <w:between w:val="nil"/>
        </w:pBdr>
        <w:ind w:firstLine="284"/>
        <w:jc w:val="both"/>
      </w:pPr>
      <w:r>
        <w:rPr>
          <w:color w:val="000000"/>
        </w:rPr>
        <w:t xml:space="preserve">17.  24 Ağustos 2016 tarihinde, 667 sayılı Kanun Hükmünde Kararnamenin (yukarıda 11. paragrafta belirtilen) </w:t>
      </w:r>
      <w:proofErr w:type="gramStart"/>
      <w:r>
        <w:rPr>
          <w:color w:val="000000"/>
        </w:rPr>
        <w:t>3</w:t>
      </w:r>
      <w:proofErr w:type="gramEnd"/>
      <w:r>
        <w:rPr>
          <w:color w:val="000000"/>
        </w:rPr>
        <w:t xml:space="preserve">. </w:t>
      </w:r>
      <w:proofErr w:type="gramStart"/>
      <w:r>
        <w:t>m</w:t>
      </w:r>
      <w:r>
        <w:rPr>
          <w:color w:val="000000"/>
        </w:rPr>
        <w:t>addesini</w:t>
      </w:r>
      <w:proofErr w:type="gramEnd"/>
      <w:r>
        <w:rPr>
          <w:color w:val="000000"/>
        </w:rPr>
        <w:t xml:space="preserve"> uygu</w:t>
      </w:r>
      <w:r>
        <w:t xml:space="preserve">layarak </w:t>
      </w:r>
      <w:r>
        <w:rPr>
          <w:color w:val="000000"/>
        </w:rPr>
        <w:t xml:space="preserve">HSYK Genel Kurulu, FETÖ/PDY'ye üye veya </w:t>
      </w:r>
      <w:r>
        <w:t>bununla</w:t>
      </w:r>
      <w:r>
        <w:rPr>
          <w:color w:val="000000"/>
        </w:rPr>
        <w:t xml:space="preserve"> </w:t>
      </w:r>
      <w:r>
        <w:t xml:space="preserve">irtibatlı </w:t>
      </w:r>
      <w:r>
        <w:rPr>
          <w:color w:val="000000"/>
        </w:rPr>
        <w:t xml:space="preserve">veya </w:t>
      </w:r>
      <w:r>
        <w:t>iltisaklı</w:t>
      </w:r>
      <w:r>
        <w:rPr>
          <w:color w:val="000000"/>
        </w:rPr>
        <w:t xml:space="preserve"> olduğu düşünülen </w:t>
      </w:r>
      <w:r>
        <w:t>– başvurucuların birçoğu dahil –</w:t>
      </w:r>
      <w:r>
        <w:rPr>
          <w:color w:val="000000"/>
        </w:rPr>
        <w:t xml:space="preserve"> 2.847 hakim ve savcıyı görevden al</w:t>
      </w:r>
      <w:r>
        <w:t xml:space="preserve">mıştır </w:t>
      </w:r>
      <w:r>
        <w:rPr>
          <w:color w:val="000000"/>
        </w:rPr>
        <w:t>(karar no. 2016/426).</w:t>
      </w:r>
      <w:r>
        <w:t xml:space="preserve"> </w:t>
      </w:r>
      <w:r>
        <w:rPr>
          <w:color w:val="000000"/>
        </w:rPr>
        <w:t>HSYK, ilgili hakim ve savcıların bağımsızlık ve tarafsızlık ilkeleriyl</w:t>
      </w:r>
      <w:r>
        <w:rPr>
          <w:color w:val="000000"/>
        </w:rPr>
        <w:t>e bağdaşmayan yapılar içindeki konumlarının ve örgüt hiyerarşisi içindeki faaliyetlerinin, örgütün temel</w:t>
      </w:r>
      <w:r>
        <w:t>in</w:t>
      </w:r>
      <w:r>
        <w:rPr>
          <w:color w:val="000000"/>
        </w:rPr>
        <w:t>deki bağlılık duygusuyla birleştiğinde, muhtemel</w:t>
      </w:r>
      <w:r>
        <w:t xml:space="preserve"> şekilde yargının </w:t>
      </w:r>
      <w:r>
        <w:rPr>
          <w:color w:val="000000"/>
        </w:rPr>
        <w:t>itibarını zedeleyebileceğini tespit e</w:t>
      </w:r>
      <w:r>
        <w:t>tmiştir</w:t>
      </w:r>
      <w:r>
        <w:rPr>
          <w:color w:val="000000"/>
        </w:rPr>
        <w:t>.</w:t>
      </w:r>
      <w:r>
        <w:t xml:space="preserve"> </w:t>
      </w:r>
      <w:r>
        <w:rPr>
          <w:color w:val="000000"/>
        </w:rPr>
        <w:t>Hâkim ve savcıların Devlet dışındaki h</w:t>
      </w:r>
      <w:r>
        <w:rPr>
          <w:color w:val="000000"/>
        </w:rPr>
        <w:t>iyerarşik bir yapının talimatlarına uymalarının, vatandaşların adil yargılanma hakkının önünde gerçek bir engel oluşturduğuna karar vermiştir.</w:t>
      </w:r>
    </w:p>
    <w:p w:rsidR="00380A26" w:rsidRDefault="0059142E">
      <w:pPr>
        <w:pBdr>
          <w:top w:val="nil"/>
          <w:left w:val="nil"/>
          <w:bottom w:val="nil"/>
          <w:right w:val="nil"/>
          <w:between w:val="nil"/>
        </w:pBdr>
        <w:ind w:firstLine="284"/>
        <w:jc w:val="both"/>
      </w:pPr>
      <w:r>
        <w:rPr>
          <w:color w:val="000000"/>
        </w:rPr>
        <w:t xml:space="preserve">18. Tarafların verdiği bilgilere göre, takip </w:t>
      </w:r>
      <w:proofErr w:type="gramStart"/>
      <w:r>
        <w:rPr>
          <w:color w:val="000000"/>
        </w:rPr>
        <w:t>eden</w:t>
      </w:r>
      <w:proofErr w:type="gramEnd"/>
      <w:r>
        <w:rPr>
          <w:color w:val="000000"/>
        </w:rPr>
        <w:t xml:space="preserve"> aylarda, başvur</w:t>
      </w:r>
      <w:r>
        <w:t>ucu</w:t>
      </w:r>
      <w:r>
        <w:rPr>
          <w:color w:val="000000"/>
        </w:rPr>
        <w:t>ların bir kısmı da dahil olmak üzere toplam 1</w:t>
      </w:r>
      <w:r>
        <w:t>.</w:t>
      </w:r>
      <w:r>
        <w:rPr>
          <w:color w:val="000000"/>
        </w:rPr>
        <w:t>393 hakim ve savcı daha meslekten ihraç edil</w:t>
      </w:r>
      <w:r>
        <w:t>miştir.</w:t>
      </w:r>
    </w:p>
    <w:p w:rsidR="00380A26" w:rsidRDefault="00380A26">
      <w:pPr>
        <w:pBdr>
          <w:top w:val="nil"/>
          <w:left w:val="nil"/>
          <w:bottom w:val="nil"/>
          <w:right w:val="nil"/>
          <w:between w:val="nil"/>
        </w:pBdr>
        <w:ind w:firstLine="284"/>
        <w:jc w:val="both"/>
      </w:pPr>
    </w:p>
    <w:p w:rsidR="00380A26" w:rsidRDefault="0059142E">
      <w:pPr>
        <w:keepNext/>
        <w:keepLines/>
        <w:numPr>
          <w:ilvl w:val="1"/>
          <w:numId w:val="5"/>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color w:val="000000"/>
        </w:rPr>
        <w:t xml:space="preserve">BAŞVURUCULARIN </w:t>
      </w:r>
      <w:r>
        <w:rPr>
          <w:smallCaps/>
        </w:rPr>
        <w:t>GÖZALTINA ALINMASI VE TUTUKLANMASI</w:t>
      </w:r>
    </w:p>
    <w:p w:rsidR="00380A26" w:rsidRDefault="0059142E">
      <w:pPr>
        <w:keepNext/>
        <w:keepLines/>
        <w:numPr>
          <w:ilvl w:val="2"/>
          <w:numId w:val="5"/>
        </w:numPr>
        <w:pBdr>
          <w:top w:val="nil"/>
          <w:left w:val="nil"/>
          <w:bottom w:val="nil"/>
          <w:right w:val="nil"/>
          <w:between w:val="nil"/>
        </w:pBdr>
        <w:spacing w:before="100" w:after="240"/>
        <w:jc w:val="both"/>
      </w:pPr>
      <w:r>
        <w:rPr>
          <w:b/>
          <w:color w:val="000000"/>
        </w:rPr>
        <w:t>B</w:t>
      </w:r>
      <w:r>
        <w:rPr>
          <w:b/>
        </w:rPr>
        <w:t>aşvurucuların gözaltına alınması ve tutuklanmasına ilişkin kararlar</w:t>
      </w:r>
    </w:p>
    <w:p w:rsidR="00380A26" w:rsidRDefault="0059142E">
      <w:pPr>
        <w:pBdr>
          <w:top w:val="nil"/>
          <w:left w:val="nil"/>
          <w:bottom w:val="nil"/>
          <w:right w:val="nil"/>
          <w:between w:val="nil"/>
        </w:pBdr>
        <w:ind w:firstLine="284"/>
        <w:jc w:val="both"/>
      </w:pPr>
      <w:r>
        <w:rPr>
          <w:color w:val="000000"/>
        </w:rPr>
        <w:t>19. </w:t>
      </w:r>
      <w:r>
        <w:t xml:space="preserve">Ankara Cumhuriyet </w:t>
      </w:r>
      <w:proofErr w:type="gramStart"/>
      <w:r>
        <w:t>Başsavcılığı'nın</w:t>
      </w:r>
      <w:proofErr w:type="gramEnd"/>
      <w:r>
        <w:t xml:space="preserve"> talimatıyla (bakınız yukarıda 8. paragraf), bölge ve il savcılıkları, darbe girişimine karıştığından şüphelenilen ve/veya FETÖ/PDY örgütüyle bağlantısı olduğu iddia edilen, baş</w:t>
      </w:r>
      <w:r w:rsidR="005637D7">
        <w:t xml:space="preserve">vurucuların aralarında olduğu, </w:t>
      </w:r>
      <w:r>
        <w:t>kişiler hakkı</w:t>
      </w:r>
      <w:r>
        <w:t>nda ceza soruşturması başlatmıştır.</w:t>
      </w:r>
    </w:p>
    <w:p w:rsidR="00380A26" w:rsidRDefault="0059142E">
      <w:pPr>
        <w:pBdr>
          <w:top w:val="nil"/>
          <w:left w:val="nil"/>
          <w:bottom w:val="nil"/>
          <w:right w:val="nil"/>
          <w:between w:val="nil"/>
        </w:pBdr>
        <w:ind w:firstLine="284"/>
        <w:jc w:val="both"/>
      </w:pPr>
      <w:r>
        <w:rPr>
          <w:color w:val="000000"/>
        </w:rPr>
        <w:t>20.  </w:t>
      </w:r>
      <w:r>
        <w:t>Başvurucular, yakalanmaları ve gözaltına alınmalarının ardından, esasen Türk Ceza Kanunu’nun 314. maddesi kapsamında cezalandırılabilecek bir suç olan FETÖ/PDY örgütüne üyelik şüphesiyle 18 Temmuz 2016 ve 19 Ekim 20</w:t>
      </w:r>
      <w:r>
        <w:t xml:space="preserve">16 tarihleri ​​arasında çeşitli tarihlerde tutuklanmışlardır (bakınız </w:t>
      </w:r>
      <w:r>
        <w:rPr>
          <w:i/>
        </w:rPr>
        <w:t>Baş</w:t>
      </w:r>
      <w:r>
        <w:t>, yukarıda anılan, § 58). Tutuklanma kararları, başvurucuların yakalandıkları yerde bulunan sulh ceza hakimlikleri tarafından verilmiştir.</w:t>
      </w:r>
    </w:p>
    <w:p w:rsidR="00380A26" w:rsidRDefault="0059142E">
      <w:pPr>
        <w:pBdr>
          <w:top w:val="nil"/>
          <w:left w:val="nil"/>
          <w:bottom w:val="nil"/>
          <w:right w:val="nil"/>
          <w:between w:val="nil"/>
        </w:pBdr>
        <w:ind w:firstLine="284"/>
        <w:jc w:val="both"/>
      </w:pPr>
      <w:r>
        <w:rPr>
          <w:color w:val="000000"/>
        </w:rPr>
        <w:t>21. </w:t>
      </w:r>
      <w:r>
        <w:t>Sulh ceza hakimlikleri, başvurucuların t</w:t>
      </w:r>
      <w:r>
        <w:t xml:space="preserve">utuklanmasına karar verirken, esas olarak başvurucuların darbe girişimini başlatan örgüte üye olmaları, hakimlik veya savcılık görevlerinden uzaklaştırılmış olmaları ile Ankara Cumhuriyet </w:t>
      </w:r>
      <w:proofErr w:type="gramStart"/>
      <w:r>
        <w:t>Başsavcılığı'nın</w:t>
      </w:r>
      <w:proofErr w:type="gramEnd"/>
      <w:r>
        <w:t xml:space="preserve"> kendileri hakkında ceza soruşturması açılmasını tal</w:t>
      </w:r>
      <w:r>
        <w:t xml:space="preserve">ep etmesini temel almıştır. Hakimler, bazı başvurucular hakkında, tanık ifadeleri veya ByLock mesajlaşma sistemini kullandıklarını gösteren kanıtlar gibi başka suçlayıcı delillerin bulunduğunu kaydetmiştir. Delillerin durumu, iddia olunan – </w:t>
      </w:r>
      <w:proofErr w:type="gramStart"/>
      <w:r>
        <w:t>CMK'nın</w:t>
      </w:r>
      <w:proofErr w:type="gramEnd"/>
      <w:r>
        <w:t xml:space="preserve"> 100. </w:t>
      </w:r>
      <w:proofErr w:type="gramStart"/>
      <w:r>
        <w:t>ma</w:t>
      </w:r>
      <w:r>
        <w:t>ddesinde</w:t>
      </w:r>
      <w:proofErr w:type="gramEnd"/>
      <w:r>
        <w:t xml:space="preserve"> sayılan 'katalog' suçlar arasında yer alan – suç veya suçların niteliği, olası cezalar ve ülke genelinde darbe girişimiyle ilgili devam eden soruşturmaları dikkate alarak, sulh ceza hakimlikleri tutukluluğun orantılı bir tedbir olduğuna karar verm</w:t>
      </w:r>
      <w:r>
        <w:t xml:space="preserve">iştir. Kararların çoğunda, sanıkların isnat edilen suçun, yani silahlı terör örgütü </w:t>
      </w:r>
      <w:r>
        <w:lastRenderedPageBreak/>
        <w:t>üyeliğinin “mütemadi suç” olduğu dikkate alındığında, ceza soruşturmasının olağan kurallara göre suçüstü hâlinin var olduğu gerekçesiyle olağan hukuk hükümlerine göre yürüt</w:t>
      </w:r>
      <w:r>
        <w:t xml:space="preserve">üldüğüne özellikle dikkat çekilmiştir(bakınız </w:t>
      </w:r>
      <w:r>
        <w:rPr>
          <w:i/>
        </w:rPr>
        <w:t>Baş</w:t>
      </w:r>
      <w:r>
        <w:t>, yukarıda anılan, § 67, 2802 sayılı Kanunun ilgili 94. maddesi ve aşağıdaki yer alan 30. ve 31. paragraf için sırasıyla 2797 veya 2575 sayılı Kanunlar).</w:t>
      </w:r>
    </w:p>
    <w:p w:rsidR="00380A26" w:rsidRDefault="0059142E">
      <w:pPr>
        <w:pBdr>
          <w:top w:val="nil"/>
          <w:left w:val="nil"/>
          <w:bottom w:val="nil"/>
          <w:right w:val="nil"/>
          <w:between w:val="nil"/>
        </w:pBdr>
        <w:ind w:firstLine="284"/>
        <w:jc w:val="both"/>
      </w:pPr>
      <w:r>
        <w:rPr>
          <w:color w:val="000000"/>
        </w:rPr>
        <w:t>22. </w:t>
      </w:r>
      <w:r>
        <w:t>Sulh ceza hakimlikleri, başvurucuların ilk tutukl</w:t>
      </w:r>
      <w:r>
        <w:t>ama kararlarına yönelik itirazlarını, esas olarak ilk tutuklama kararlarında belirtilen gerekçelere dayanarak farklı tarihlerde reddetmiştir.</w:t>
      </w:r>
    </w:p>
    <w:p w:rsidR="00380A26" w:rsidRDefault="0059142E">
      <w:pPr>
        <w:pBdr>
          <w:top w:val="nil"/>
          <w:left w:val="nil"/>
          <w:bottom w:val="nil"/>
          <w:right w:val="nil"/>
          <w:between w:val="nil"/>
        </w:pBdr>
        <w:ind w:firstLine="284"/>
        <w:jc w:val="both"/>
      </w:pPr>
      <w:r>
        <w:rPr>
          <w:color w:val="000000"/>
        </w:rPr>
        <w:t>23. </w:t>
      </w:r>
      <w:r>
        <w:t xml:space="preserve">Başvurucuların tutuklulukları, her otuz günde bir yeniden inceleme öngören </w:t>
      </w:r>
      <w:proofErr w:type="gramStart"/>
      <w:r>
        <w:t>CMK'nın</w:t>
      </w:r>
      <w:proofErr w:type="gramEnd"/>
      <w:r>
        <w:t xml:space="preserve"> 108. </w:t>
      </w:r>
      <w:proofErr w:type="gramStart"/>
      <w:r>
        <w:t>maddesi</w:t>
      </w:r>
      <w:proofErr w:type="gramEnd"/>
      <w:r>
        <w:t xml:space="preserve"> uyarınca otomatik olarak incelenmiştir (bakınız </w:t>
      </w:r>
      <w:r>
        <w:rPr>
          <w:i/>
        </w:rPr>
        <w:t>Baş</w:t>
      </w:r>
      <w:r>
        <w:t xml:space="preserve">, yukarıda anılan, § 62). Tahliye talepleri, 668 sayılı Kanun Hükmünde Kararname'nin 3. </w:t>
      </w:r>
      <w:proofErr w:type="gramStart"/>
      <w:r>
        <w:t>maddesinin</w:t>
      </w:r>
      <w:proofErr w:type="gramEnd"/>
      <w:r>
        <w:t xml:space="preserve"> 1. </w:t>
      </w:r>
      <w:proofErr w:type="gramStart"/>
      <w:r>
        <w:t>fıkrası</w:t>
      </w:r>
      <w:r>
        <w:t>nın</w:t>
      </w:r>
      <w:proofErr w:type="gramEnd"/>
      <w:r>
        <w:t xml:space="preserve"> (ç) bendine göre tutukluluklarının otomatik şekilde periyodik olarak incelenmesiyle aynı </w:t>
      </w:r>
      <w:r w:rsidR="005637D7">
        <w:t>anda incelenmiştir. (</w:t>
      </w:r>
      <w:proofErr w:type="gramStart"/>
      <w:r w:rsidR="005637D7">
        <w:t>aynı</w:t>
      </w:r>
      <w:proofErr w:type="gramEnd"/>
      <w:r w:rsidR="005637D7">
        <w:t xml:space="preserve"> yerde</w:t>
      </w:r>
      <w:r>
        <w:t>, § 81). Dava dosyalarına dayanılarak yürütülen incelemeler, bireysel olarak yapılmamış, geniş bir şüpheli grubuna ilişkin olmuştur</w:t>
      </w:r>
      <w:r>
        <w:t>. Hem tutukluluk süresinin uzatılmasına ilişkin kararlar hem de başvurucuların tutukluluklarına yönelik itirazlarının reddi, temelde ilk tutukluluk sırasında ileri sürülen gerekçelerin tekrarını içermiştir.</w:t>
      </w:r>
    </w:p>
    <w:p w:rsidR="00380A26" w:rsidRDefault="00380A26">
      <w:pPr>
        <w:pBdr>
          <w:top w:val="nil"/>
          <w:left w:val="nil"/>
          <w:bottom w:val="nil"/>
          <w:right w:val="nil"/>
          <w:between w:val="nil"/>
        </w:pBdr>
        <w:ind w:firstLine="284"/>
        <w:jc w:val="both"/>
      </w:pPr>
    </w:p>
    <w:p w:rsidR="00380A26" w:rsidRDefault="0059142E">
      <w:pPr>
        <w:keepNext/>
        <w:keepLines/>
        <w:numPr>
          <w:ilvl w:val="2"/>
          <w:numId w:val="5"/>
        </w:numPr>
        <w:pBdr>
          <w:top w:val="nil"/>
          <w:left w:val="nil"/>
          <w:bottom w:val="nil"/>
          <w:right w:val="nil"/>
          <w:between w:val="nil"/>
        </w:pBdr>
        <w:spacing w:before="100" w:after="240"/>
        <w:jc w:val="both"/>
      </w:pPr>
      <w:r>
        <w:rPr>
          <w:b/>
        </w:rPr>
        <w:t>Başvurucuların tutukluluklarının devamına ilişki</w:t>
      </w:r>
      <w:r>
        <w:rPr>
          <w:b/>
        </w:rPr>
        <w:t>n kararlar ve iddianameleri, yargılamaları ve hükümleri</w:t>
      </w:r>
    </w:p>
    <w:p w:rsidR="00380A26" w:rsidRDefault="0059142E">
      <w:pPr>
        <w:pBdr>
          <w:top w:val="nil"/>
          <w:left w:val="nil"/>
          <w:bottom w:val="nil"/>
          <w:right w:val="nil"/>
          <w:between w:val="nil"/>
        </w:pBdr>
        <w:ind w:firstLine="284"/>
        <w:jc w:val="both"/>
      </w:pPr>
      <w:r>
        <w:rPr>
          <w:color w:val="000000"/>
        </w:rPr>
        <w:t>24.</w:t>
      </w:r>
      <w:r>
        <w:t xml:space="preserve"> Taraflarca sağlanan bilgilere göre, başvurucular çeşitli tarihlerde Ceza Kanunu'nun 314. </w:t>
      </w:r>
      <w:proofErr w:type="gramStart"/>
      <w:r>
        <w:t>maddesinin</w:t>
      </w:r>
      <w:proofErr w:type="gramEnd"/>
      <w:r>
        <w:t xml:space="preserve"> 2. </w:t>
      </w:r>
      <w:proofErr w:type="gramStart"/>
      <w:r>
        <w:t>fıkrası  uyarınca</w:t>
      </w:r>
      <w:proofErr w:type="gramEnd"/>
      <w:r>
        <w:t xml:space="preserve"> terör örgütüne üye olmakla suçlanmıştır. Müteakip yargılama aşamasında, ilk</w:t>
      </w:r>
      <w:r>
        <w:t xml:space="preserve"> derece mahkemeleri, ya planlanan duruşmalarda ya da duruşmalar arasında yapılan periyodik incelemelerde, başvurucuların tutukluluklarının devamına karar vermiş ve yukarıda belirtilenlere benzer gerekçelerle tahliye taleplerini reddetmiştir.</w:t>
      </w:r>
    </w:p>
    <w:p w:rsidR="00380A26" w:rsidRDefault="0059142E">
      <w:pPr>
        <w:pBdr>
          <w:top w:val="nil"/>
          <w:left w:val="nil"/>
          <w:bottom w:val="nil"/>
          <w:right w:val="nil"/>
          <w:between w:val="nil"/>
        </w:pBdr>
        <w:ind w:firstLine="284"/>
        <w:jc w:val="both"/>
      </w:pPr>
      <w:r>
        <w:rPr>
          <w:color w:val="000000"/>
        </w:rPr>
        <w:t>25. </w:t>
      </w:r>
      <w:r>
        <w:t>Dava dosya</w:t>
      </w:r>
      <w:r>
        <w:t>sındaki son bilgilere göre, ilk derece mahkemeleri, birkaç başvurucu dışında tüm başvurucularla ilgili incelemelerini tamamlamıştır. Başvurucuların çoğu terör örgütü üyeliğinden mahkûm edilmiş ve yaklaşık on altı başvurucu beraat etmiştir. Mahkûmiyetleri v</w:t>
      </w:r>
      <w:r>
        <w:t>eya beraatleri kesinleşen birkaç başvurucu dışında, temyiz başvuruları çoğunlukla bölge istinaf mahkemeleri veya Yargıtay önünde derdesttir.</w:t>
      </w:r>
    </w:p>
    <w:p w:rsidR="00380A26" w:rsidRDefault="00380A26">
      <w:pPr>
        <w:pBdr>
          <w:top w:val="nil"/>
          <w:left w:val="nil"/>
          <w:bottom w:val="nil"/>
          <w:right w:val="nil"/>
          <w:between w:val="nil"/>
        </w:pBdr>
        <w:ind w:firstLine="284"/>
        <w:jc w:val="both"/>
      </w:pPr>
    </w:p>
    <w:p w:rsidR="00380A26" w:rsidRDefault="0059142E">
      <w:pPr>
        <w:keepNext/>
        <w:keepLines/>
        <w:numPr>
          <w:ilvl w:val="2"/>
          <w:numId w:val="5"/>
        </w:numPr>
        <w:pBdr>
          <w:top w:val="nil"/>
          <w:left w:val="nil"/>
          <w:bottom w:val="nil"/>
          <w:right w:val="nil"/>
          <w:between w:val="nil"/>
        </w:pBdr>
        <w:spacing w:before="100" w:after="240"/>
        <w:jc w:val="both"/>
      </w:pPr>
      <w:r>
        <w:rPr>
          <w:b/>
        </w:rPr>
        <w:t>Anayasa Mahkemesi’ne yapılan bireysel başvurular</w:t>
      </w:r>
    </w:p>
    <w:p w:rsidR="00380A26" w:rsidRDefault="0059142E">
      <w:pPr>
        <w:pBdr>
          <w:top w:val="nil"/>
          <w:left w:val="nil"/>
          <w:bottom w:val="nil"/>
          <w:right w:val="nil"/>
          <w:between w:val="nil"/>
        </w:pBdr>
        <w:ind w:firstLine="284"/>
        <w:jc w:val="both"/>
      </w:pPr>
      <w:r>
        <w:rPr>
          <w:color w:val="000000"/>
        </w:rPr>
        <w:t>26.  </w:t>
      </w:r>
      <w:r>
        <w:t>Bu süre içinde başvurucular, diğerlerinin yanı sıra, özgürlü</w:t>
      </w:r>
      <w:r>
        <w:t xml:space="preserve">k ve güvenlik haklarının ihlal edildiği iddiasıyla ilgili olarak Anayasa Mahkemesi'ne çeşitli gerekçelerle bir veya birden çok başvuru yapmış ve bunların tümü </w:t>
      </w:r>
      <w:proofErr w:type="gramStart"/>
      <w:r>
        <w:t>kabul</w:t>
      </w:r>
      <w:proofErr w:type="gramEnd"/>
      <w:r>
        <w:t xml:space="preserve"> edilemez bulunmuştur.</w:t>
      </w:r>
    </w:p>
    <w:p w:rsidR="00380A26" w:rsidRDefault="0059142E">
      <w:pPr>
        <w:pBdr>
          <w:top w:val="nil"/>
          <w:left w:val="nil"/>
          <w:bottom w:val="nil"/>
          <w:right w:val="nil"/>
          <w:between w:val="nil"/>
        </w:pBdr>
        <w:ind w:firstLine="284"/>
        <w:jc w:val="both"/>
      </w:pPr>
      <w:r>
        <w:rPr>
          <w:color w:val="000000"/>
        </w:rPr>
        <w:t>27. </w:t>
      </w:r>
      <w:r>
        <w:t>Başvurucunlar tarafından sunulan şikayetler arasında, hakim ve sa</w:t>
      </w:r>
      <w:r>
        <w:t xml:space="preserve">vcılara iç hukukta tanınan usuli güvencelerin ihlal edildiği iddiasıyla tutuklulukları ve tutuklanmalarına hükmeden sulh ceza hakimliklerinin yargı yetkisinin bulunmadığı iddiaları Anayasa Mahkemesi tarafından </w:t>
      </w:r>
      <w:proofErr w:type="gramStart"/>
      <w:r>
        <w:t>kabul</w:t>
      </w:r>
      <w:proofErr w:type="gramEnd"/>
      <w:r>
        <w:t xml:space="preserve"> </w:t>
      </w:r>
      <w:r>
        <w:lastRenderedPageBreak/>
        <w:t>edilemez bulunmuştur. Esas olarak, Anaya</w:t>
      </w:r>
      <w:r>
        <w:t xml:space="preserve">sa Mahkemesi iddia edilen suçun niteliği ve işlenme biçimi göz önüne alındığında, başvurucuların tutuklanmasını emreden sulh ceza hakimliğinin yargı yetkisini </w:t>
      </w:r>
      <w:proofErr w:type="gramStart"/>
      <w:r>
        <w:t>kabul</w:t>
      </w:r>
      <w:proofErr w:type="gramEnd"/>
      <w:r>
        <w:t xml:space="preserve"> etmenin uygun olduğuna karar vermiştir. Kararların birçoğunda, suçüstü hâliyle ilgili hüküm</w:t>
      </w:r>
      <w:r>
        <w:t>lerin uygulanmasına ilişkin olarak herhangi bir değerlendirme hatası veya bir keyfilik bulunmadığı da açıkça belirtilmiştir.</w:t>
      </w:r>
    </w:p>
    <w:p w:rsidR="00380A26" w:rsidRDefault="00380A26">
      <w:pPr>
        <w:pBdr>
          <w:top w:val="nil"/>
          <w:left w:val="nil"/>
          <w:bottom w:val="nil"/>
          <w:right w:val="nil"/>
          <w:between w:val="nil"/>
        </w:pBdr>
        <w:ind w:firstLine="284"/>
        <w:jc w:val="both"/>
      </w:pPr>
    </w:p>
    <w:p w:rsidR="00380A26" w:rsidRDefault="0059142E">
      <w:pPr>
        <w:keepNext/>
        <w:keepLines/>
        <w:pBdr>
          <w:top w:val="nil"/>
          <w:left w:val="nil"/>
          <w:bottom w:val="nil"/>
          <w:right w:val="nil"/>
          <w:between w:val="nil"/>
        </w:pBdr>
        <w:spacing w:before="100" w:after="240"/>
        <w:ind w:left="140"/>
        <w:jc w:val="both"/>
        <w:rPr>
          <w:smallCaps/>
          <w:color w:val="000000"/>
          <w:sz w:val="28"/>
          <w:szCs w:val="28"/>
        </w:rPr>
      </w:pPr>
      <w:r>
        <w:rPr>
          <w:smallCaps/>
          <w:sz w:val="28"/>
          <w:szCs w:val="28"/>
        </w:rPr>
        <w:t>İLGİLİ YASAL ÇERÇEVE VE UYGULAMA</w:t>
      </w:r>
    </w:p>
    <w:p w:rsidR="00380A26" w:rsidRDefault="0059142E">
      <w:pPr>
        <w:keepNext/>
        <w:keepLines/>
        <w:numPr>
          <w:ilvl w:val="1"/>
          <w:numId w:val="1"/>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rPr>
        <w:t>İLGİLİ İÇ HUKUK VE UYGULAMA</w:t>
      </w:r>
    </w:p>
    <w:p w:rsidR="00380A26" w:rsidRDefault="0059142E">
      <w:pPr>
        <w:pBdr>
          <w:top w:val="nil"/>
          <w:left w:val="nil"/>
          <w:bottom w:val="nil"/>
          <w:right w:val="nil"/>
          <w:between w:val="nil"/>
        </w:pBdr>
        <w:ind w:firstLine="284"/>
        <w:jc w:val="both"/>
      </w:pPr>
      <w:bookmarkStart w:id="5" w:name="_heading=h.17dp8vu" w:colFirst="0" w:colLast="0"/>
      <w:bookmarkEnd w:id="5"/>
      <w:r>
        <w:rPr>
          <w:color w:val="000000"/>
        </w:rPr>
        <w:t>28. </w:t>
      </w:r>
      <w:r>
        <w:t xml:space="preserve">Yargıtay’ın ve Anayasa Mahkemesi’nin ilgili içtihatları da dahil olmak üzere ilgili iç hukuk ve uygulama, çoğunlukla </w:t>
      </w:r>
      <w:r>
        <w:rPr>
          <w:i/>
        </w:rPr>
        <w:t>Alparslan Altan v. Türkiye</w:t>
      </w:r>
      <w:r>
        <w:t xml:space="preserve"> (yukarıda anılan, §§ 46- 48, 50-55 ve 59-64) ve </w:t>
      </w:r>
      <w:r>
        <w:rPr>
          <w:i/>
        </w:rPr>
        <w:t>Baş v. Türkiye</w:t>
      </w:r>
      <w:r>
        <w:t xml:space="preserve"> (yukarıda anılan, §§ 52-67, 70, 81-90, 98-99, 101</w:t>
      </w:r>
      <w:r>
        <w:t xml:space="preserve">-103) davalarında ortaya konmuştur İlgili iç hukuk ve uygulamanın diğer unsurları aşağıda özetlenmiştir. </w:t>
      </w:r>
    </w:p>
    <w:p w:rsidR="00380A26" w:rsidRDefault="00380A26">
      <w:pPr>
        <w:pBdr>
          <w:top w:val="nil"/>
          <w:left w:val="nil"/>
          <w:bottom w:val="nil"/>
          <w:right w:val="nil"/>
          <w:between w:val="nil"/>
        </w:pBdr>
        <w:ind w:firstLine="284"/>
        <w:jc w:val="both"/>
      </w:pPr>
      <w:bookmarkStart w:id="6" w:name="_heading=h.p3e6zpzdh616" w:colFirst="0" w:colLast="0"/>
      <w:bookmarkEnd w:id="6"/>
    </w:p>
    <w:p w:rsidR="00380A26" w:rsidRDefault="0059142E">
      <w:pPr>
        <w:keepNext/>
        <w:keepLines/>
        <w:numPr>
          <w:ilvl w:val="2"/>
          <w:numId w:val="1"/>
        </w:numPr>
        <w:pBdr>
          <w:top w:val="nil"/>
          <w:left w:val="nil"/>
          <w:bottom w:val="nil"/>
          <w:right w:val="nil"/>
          <w:between w:val="nil"/>
        </w:pBdr>
        <w:spacing w:before="100" w:after="240"/>
        <w:jc w:val="both"/>
      </w:pPr>
      <w:r>
        <w:rPr>
          <w:b/>
        </w:rPr>
        <w:t>Ceza Muhakemesi Kanunu(CMK) (5271 sayılı Kanun)</w:t>
      </w:r>
    </w:p>
    <w:p w:rsidR="00380A26" w:rsidRDefault="0059142E">
      <w:pPr>
        <w:pBdr>
          <w:top w:val="nil"/>
          <w:left w:val="nil"/>
          <w:bottom w:val="nil"/>
          <w:right w:val="nil"/>
          <w:between w:val="nil"/>
        </w:pBdr>
        <w:ind w:firstLine="284"/>
        <w:jc w:val="both"/>
        <w:rPr>
          <w:color w:val="000000"/>
        </w:rPr>
      </w:pPr>
      <w:r>
        <w:rPr>
          <w:color w:val="000000"/>
        </w:rPr>
        <w:t>29.  </w:t>
      </w:r>
      <w:proofErr w:type="gramStart"/>
      <w:r>
        <w:rPr>
          <w:color w:val="000000"/>
        </w:rPr>
        <w:t>CMK</w:t>
      </w:r>
      <w:r>
        <w:t>’nın</w:t>
      </w:r>
      <w:proofErr w:type="gramEnd"/>
      <w:r>
        <w:t xml:space="preserve"> 141.</w:t>
      </w:r>
      <w:r w:rsidR="001E7AD8">
        <w:t xml:space="preserve"> </w:t>
      </w:r>
      <w:proofErr w:type="gramStart"/>
      <w:r>
        <w:t>maddesinin</w:t>
      </w:r>
      <w:proofErr w:type="gramEnd"/>
      <w:r>
        <w:t xml:space="preserve"> 1.</w:t>
      </w:r>
      <w:r w:rsidR="001E7AD8">
        <w:t xml:space="preserve"> </w:t>
      </w:r>
      <w:proofErr w:type="gramStart"/>
      <w:r>
        <w:t>fıkrasının</w:t>
      </w:r>
      <w:proofErr w:type="gramEnd"/>
      <w:r>
        <w:t xml:space="preserve"> ilgili kısmı şu şekildedir</w:t>
      </w:r>
      <w:r>
        <w:rPr>
          <w:color w:val="000000"/>
        </w:rPr>
        <w:t>:</w:t>
      </w:r>
    </w:p>
    <w:p w:rsidR="00380A26" w:rsidRDefault="0059142E">
      <w:pPr>
        <w:pBdr>
          <w:top w:val="nil"/>
          <w:left w:val="nil"/>
          <w:bottom w:val="nil"/>
          <w:right w:val="nil"/>
          <w:between w:val="nil"/>
        </w:pBdr>
        <w:spacing w:before="120" w:after="120"/>
        <w:ind w:left="425" w:firstLine="142"/>
        <w:jc w:val="both"/>
        <w:rPr>
          <w:sz w:val="20"/>
          <w:szCs w:val="20"/>
        </w:rPr>
      </w:pPr>
      <w:r>
        <w:rPr>
          <w:color w:val="000000"/>
          <w:sz w:val="20"/>
          <w:szCs w:val="20"/>
        </w:rPr>
        <w:t>“</w:t>
      </w:r>
      <w:r>
        <w:rPr>
          <w:sz w:val="20"/>
          <w:szCs w:val="20"/>
        </w:rPr>
        <w:t>Zararın tazmini ... herhangi biri tarafından Devletten talep edilebilir ...</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(a)  </w:t>
      </w:r>
      <w:r>
        <w:rPr>
          <w:sz w:val="20"/>
          <w:szCs w:val="20"/>
        </w:rPr>
        <w:t>Kanunlarda belirtilen koşullar dışında yakalanan, tutuklanan veya tutukluluğunun devamına karar verilen</w:t>
      </w:r>
      <w:r>
        <w:rPr>
          <w:color w:val="000000"/>
          <w:sz w:val="20"/>
          <w:szCs w:val="20"/>
        </w:rPr>
        <w:t>;</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(d)  </w:t>
      </w:r>
      <w:r>
        <w:rPr>
          <w:sz w:val="20"/>
          <w:szCs w:val="20"/>
        </w:rPr>
        <w:t>Kanuna uygun olarak tutuklandığı hâlde makul sürede yargılama mercii huzuruna çıkarılmayan ve bu süre içinde hakkında hüküm verilmeyen</w:t>
      </w:r>
      <w:r>
        <w:rPr>
          <w:color w:val="000000"/>
          <w:sz w:val="20"/>
          <w:szCs w:val="20"/>
        </w:rPr>
        <w:t>;</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(e) </w:t>
      </w:r>
      <w:r>
        <w:rPr>
          <w:sz w:val="20"/>
          <w:szCs w:val="20"/>
        </w:rPr>
        <w:t>Kanuna uygun olarak yakalandıktan veya tutuklandıktan sonra haklarında kovuşturmaya yer olmadığına veya beraatlerine</w:t>
      </w:r>
      <w:r>
        <w:rPr>
          <w:sz w:val="20"/>
          <w:szCs w:val="20"/>
        </w:rPr>
        <w:t xml:space="preserve"> karar verilen</w:t>
      </w:r>
      <w:r>
        <w:rPr>
          <w:color w:val="000000"/>
          <w:sz w:val="20"/>
          <w:szCs w:val="20"/>
        </w:rPr>
        <w:t>; ...”</w:t>
      </w:r>
    </w:p>
    <w:p w:rsidR="00380A26" w:rsidRDefault="0059142E">
      <w:pPr>
        <w:keepNext/>
        <w:keepLines/>
        <w:numPr>
          <w:ilvl w:val="2"/>
          <w:numId w:val="1"/>
        </w:numPr>
        <w:pBdr>
          <w:top w:val="nil"/>
          <w:left w:val="nil"/>
          <w:bottom w:val="nil"/>
          <w:right w:val="nil"/>
          <w:between w:val="nil"/>
        </w:pBdr>
        <w:spacing w:before="100" w:after="240"/>
        <w:jc w:val="both"/>
      </w:pPr>
      <w:r>
        <w:rPr>
          <w:b/>
        </w:rPr>
        <w:t>Yargıtay Kanunu</w:t>
      </w:r>
      <w:r>
        <w:rPr>
          <w:b/>
          <w:color w:val="000000"/>
        </w:rPr>
        <w:t xml:space="preserve"> (2797</w:t>
      </w:r>
      <w:r>
        <w:rPr>
          <w:b/>
        </w:rPr>
        <w:t xml:space="preserve"> Sayılı Kanun</w:t>
      </w:r>
      <w:r>
        <w:rPr>
          <w:b/>
          <w:color w:val="000000"/>
        </w:rPr>
        <w:t>)</w:t>
      </w:r>
    </w:p>
    <w:p w:rsidR="00380A26" w:rsidRDefault="0059142E">
      <w:pPr>
        <w:pBdr>
          <w:top w:val="nil"/>
          <w:left w:val="nil"/>
          <w:bottom w:val="nil"/>
          <w:right w:val="nil"/>
          <w:between w:val="nil"/>
        </w:pBdr>
        <w:ind w:firstLine="284"/>
        <w:jc w:val="both"/>
        <w:rPr>
          <w:color w:val="000000"/>
        </w:rPr>
      </w:pPr>
      <w:r>
        <w:rPr>
          <w:color w:val="000000"/>
        </w:rPr>
        <w:t>30.  Yargıt</w:t>
      </w:r>
      <w:r>
        <w:t>ay Kanunu’nun (2797 Sayılı Kanun) ilgili hükmü şu şekildedir</w:t>
      </w:r>
      <w:r>
        <w:rPr>
          <w:color w:val="000000"/>
        </w:rPr>
        <w:t>:</w:t>
      </w:r>
    </w:p>
    <w:p w:rsidR="00380A26" w:rsidRDefault="0059142E">
      <w:pPr>
        <w:keepNext/>
        <w:pBdr>
          <w:top w:val="nil"/>
          <w:left w:val="nil"/>
          <w:bottom w:val="nil"/>
          <w:right w:val="nil"/>
          <w:between w:val="nil"/>
        </w:pBdr>
        <w:spacing w:before="100" w:after="120"/>
        <w:jc w:val="center"/>
        <w:rPr>
          <w:b/>
          <w:sz w:val="20"/>
          <w:szCs w:val="20"/>
        </w:rPr>
      </w:pPr>
      <w:r>
        <w:rPr>
          <w:b/>
          <w:sz w:val="20"/>
          <w:szCs w:val="20"/>
        </w:rPr>
        <w:t>Suçlarla İlgili İnceleme, Soruşturma ve Kovuşturma</w:t>
      </w:r>
    </w:p>
    <w:p w:rsidR="00380A26" w:rsidRDefault="0059142E">
      <w:pPr>
        <w:keepNext/>
        <w:pBdr>
          <w:top w:val="nil"/>
          <w:left w:val="nil"/>
          <w:bottom w:val="nil"/>
          <w:right w:val="nil"/>
          <w:between w:val="nil"/>
        </w:pBdr>
        <w:spacing w:before="100" w:after="120"/>
        <w:jc w:val="center"/>
        <w:rPr>
          <w:b/>
          <w:sz w:val="20"/>
          <w:szCs w:val="20"/>
        </w:rPr>
      </w:pPr>
      <w:r>
        <w:rPr>
          <w:b/>
          <w:sz w:val="20"/>
          <w:szCs w:val="20"/>
        </w:rPr>
        <w:t>Kişisel ve görevle ilgili suçlar:</w:t>
      </w:r>
    </w:p>
    <w:p w:rsidR="00380A26" w:rsidRDefault="0059142E">
      <w:pPr>
        <w:keepNext/>
        <w:pBdr>
          <w:top w:val="nil"/>
          <w:left w:val="nil"/>
          <w:bottom w:val="nil"/>
          <w:right w:val="nil"/>
          <w:between w:val="nil"/>
        </w:pBdr>
        <w:spacing w:before="100" w:after="120"/>
        <w:jc w:val="center"/>
        <w:rPr>
          <w:b/>
          <w:color w:val="000000"/>
          <w:sz w:val="20"/>
          <w:szCs w:val="20"/>
        </w:rPr>
      </w:pPr>
      <w:r>
        <w:rPr>
          <w:b/>
          <w:sz w:val="20"/>
          <w:szCs w:val="20"/>
        </w:rPr>
        <w:t>Madde</w:t>
      </w:r>
      <w:r>
        <w:rPr>
          <w:b/>
          <w:color w:val="000000"/>
          <w:sz w:val="20"/>
          <w:szCs w:val="20"/>
        </w:rPr>
        <w:t xml:space="preserve"> 46</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r>
        <w:rPr>
          <w:sz w:val="20"/>
          <w:szCs w:val="20"/>
        </w:rPr>
        <w:t>“Yargıtay Birinci Başkanı, birinci başkanvekilleri, daire başkanları, üyeleri, Yargıtay Cumhuriyet Başsavcısı ve Yargıtay Cumhuriyet Başsavcı vekilinin görevleriyle ilgili veya kişisel suçlarından dolayı haklarında soruşturma yapılabilmesi Birinci Başkanlı</w:t>
      </w:r>
      <w:r>
        <w:rPr>
          <w:sz w:val="20"/>
          <w:szCs w:val="20"/>
        </w:rPr>
        <w:t>k Kurulunun kararına bağlıdır. Ancak, ağır cezayı gerektiren suçüstü hallerinin hazırlık ve ilk soruşturması genel hükümlere tabidir</w:t>
      </w:r>
      <w:proofErr w:type="gramStart"/>
      <w:r>
        <w:rPr>
          <w:sz w:val="20"/>
          <w:szCs w:val="20"/>
        </w:rPr>
        <w:t>.</w:t>
      </w:r>
      <w:r>
        <w:rPr>
          <w:color w:val="000000"/>
          <w:sz w:val="20"/>
          <w:szCs w:val="20"/>
        </w:rPr>
        <w:t>.”</w:t>
      </w:r>
      <w:proofErr w:type="gramEnd"/>
    </w:p>
    <w:p w:rsidR="00380A26" w:rsidRDefault="00380A26">
      <w:pPr>
        <w:pBdr>
          <w:top w:val="nil"/>
          <w:left w:val="nil"/>
          <w:bottom w:val="nil"/>
          <w:right w:val="nil"/>
          <w:between w:val="nil"/>
        </w:pBdr>
        <w:spacing w:before="120" w:after="120"/>
        <w:ind w:left="425" w:firstLine="142"/>
        <w:jc w:val="both"/>
        <w:rPr>
          <w:sz w:val="20"/>
          <w:szCs w:val="20"/>
        </w:rPr>
      </w:pPr>
    </w:p>
    <w:p w:rsidR="00380A26" w:rsidRDefault="0059142E">
      <w:pPr>
        <w:keepNext/>
        <w:keepLines/>
        <w:numPr>
          <w:ilvl w:val="2"/>
          <w:numId w:val="1"/>
        </w:numPr>
        <w:pBdr>
          <w:top w:val="nil"/>
          <w:left w:val="nil"/>
          <w:bottom w:val="nil"/>
          <w:right w:val="nil"/>
          <w:between w:val="nil"/>
        </w:pBdr>
        <w:spacing w:before="100" w:after="240"/>
        <w:jc w:val="both"/>
      </w:pPr>
      <w:r>
        <w:rPr>
          <w:b/>
        </w:rPr>
        <w:lastRenderedPageBreak/>
        <w:t>Danıştay Kanunu</w:t>
      </w:r>
      <w:r>
        <w:rPr>
          <w:b/>
          <w:color w:val="000000"/>
        </w:rPr>
        <w:t xml:space="preserve"> (2575 Sayılı Kanun)</w:t>
      </w:r>
    </w:p>
    <w:p w:rsidR="00380A26" w:rsidRDefault="0059142E">
      <w:pPr>
        <w:pBdr>
          <w:top w:val="nil"/>
          <w:left w:val="nil"/>
          <w:bottom w:val="nil"/>
          <w:right w:val="nil"/>
          <w:between w:val="nil"/>
        </w:pBdr>
        <w:ind w:firstLine="284"/>
        <w:jc w:val="both"/>
        <w:rPr>
          <w:color w:val="000000"/>
        </w:rPr>
      </w:pPr>
      <w:r>
        <w:rPr>
          <w:color w:val="000000"/>
        </w:rPr>
        <w:t>31.  </w:t>
      </w:r>
      <w:r>
        <w:t>Danıştay Kanunu’nun</w:t>
      </w:r>
      <w:r w:rsidR="001E7AD8">
        <w:rPr>
          <w:color w:val="000000"/>
        </w:rPr>
        <w:t xml:space="preserve"> (</w:t>
      </w:r>
      <w:r>
        <w:rPr>
          <w:color w:val="000000"/>
        </w:rPr>
        <w:t xml:space="preserve">2575 Sayılı Kanun) </w:t>
      </w:r>
      <w:r>
        <w:t>ilgili bölümleri şu şekildedir:</w:t>
      </w:r>
    </w:p>
    <w:p w:rsidR="00380A26" w:rsidRDefault="0059142E">
      <w:pPr>
        <w:keepNext/>
        <w:pBdr>
          <w:top w:val="nil"/>
          <w:left w:val="nil"/>
          <w:bottom w:val="nil"/>
          <w:right w:val="nil"/>
          <w:between w:val="nil"/>
        </w:pBdr>
        <w:spacing w:before="100" w:after="120"/>
        <w:jc w:val="center"/>
        <w:rPr>
          <w:b/>
          <w:sz w:val="20"/>
          <w:szCs w:val="20"/>
        </w:rPr>
      </w:pPr>
      <w:r>
        <w:rPr>
          <w:b/>
          <w:sz w:val="20"/>
          <w:szCs w:val="20"/>
        </w:rPr>
        <w:t>Soruşturma</w:t>
      </w:r>
    </w:p>
    <w:p w:rsidR="00380A26" w:rsidRDefault="0059142E">
      <w:pPr>
        <w:keepNext/>
        <w:pBdr>
          <w:top w:val="nil"/>
          <w:left w:val="nil"/>
          <w:bottom w:val="nil"/>
          <w:right w:val="nil"/>
          <w:between w:val="nil"/>
        </w:pBdr>
        <w:spacing w:before="100" w:after="120"/>
        <w:jc w:val="center"/>
        <w:rPr>
          <w:b/>
          <w:color w:val="000000"/>
          <w:sz w:val="20"/>
          <w:szCs w:val="20"/>
        </w:rPr>
      </w:pPr>
      <w:r>
        <w:rPr>
          <w:b/>
          <w:sz w:val="20"/>
          <w:szCs w:val="20"/>
        </w:rPr>
        <w:t>Madde 76</w:t>
      </w:r>
    </w:p>
    <w:p w:rsidR="00380A26" w:rsidRDefault="0059142E">
      <w:pPr>
        <w:keepLines/>
        <w:pBdr>
          <w:top w:val="nil"/>
          <w:left w:val="nil"/>
          <w:bottom w:val="nil"/>
          <w:right w:val="nil"/>
          <w:between w:val="nil"/>
        </w:pBdr>
        <w:spacing w:before="120" w:after="120"/>
        <w:ind w:left="425" w:firstLine="142"/>
        <w:jc w:val="both"/>
        <w:rPr>
          <w:sz w:val="20"/>
          <w:szCs w:val="20"/>
        </w:rPr>
      </w:pPr>
      <w:r>
        <w:rPr>
          <w:color w:val="000000"/>
          <w:sz w:val="20"/>
          <w:szCs w:val="20"/>
        </w:rPr>
        <w:t xml:space="preserve">“1. </w:t>
      </w:r>
      <w:r>
        <w:rPr>
          <w:sz w:val="20"/>
          <w:szCs w:val="20"/>
        </w:rPr>
        <w:t>Danıştay Başkanı, Başsavcı, başkanvekilleri, daire başkanları ve üyelerin görevlerinden doğan veya görevleri sırasında işlemiş bulundukları suçlardan dolayı, Danıştay Başkanının seçeceği bir daire başkanı ile iki üyeden oluşan bir kurul tarafından ilk soru</w:t>
      </w:r>
      <w:r>
        <w:rPr>
          <w:sz w:val="20"/>
          <w:szCs w:val="20"/>
        </w:rPr>
        <w:t>şturma yapılır.</w:t>
      </w:r>
    </w:p>
    <w:p w:rsidR="00380A26" w:rsidRDefault="0059142E">
      <w:pPr>
        <w:keepLines/>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p>
    <w:p w:rsidR="00380A26" w:rsidRDefault="0059142E">
      <w:pPr>
        <w:keepNext/>
        <w:pBdr>
          <w:top w:val="nil"/>
          <w:left w:val="nil"/>
          <w:bottom w:val="nil"/>
          <w:right w:val="nil"/>
          <w:between w:val="nil"/>
        </w:pBdr>
        <w:spacing w:before="100" w:after="120"/>
        <w:jc w:val="center"/>
        <w:rPr>
          <w:b/>
          <w:sz w:val="20"/>
          <w:szCs w:val="20"/>
        </w:rPr>
      </w:pPr>
      <w:r>
        <w:rPr>
          <w:b/>
          <w:sz w:val="20"/>
          <w:szCs w:val="20"/>
        </w:rPr>
        <w:t xml:space="preserve">Şahsi suçların kovuşturma usulü </w:t>
      </w:r>
    </w:p>
    <w:p w:rsidR="00380A26" w:rsidRDefault="0059142E">
      <w:pPr>
        <w:keepNext/>
        <w:pBdr>
          <w:top w:val="nil"/>
          <w:left w:val="nil"/>
          <w:bottom w:val="nil"/>
          <w:right w:val="nil"/>
          <w:between w:val="nil"/>
        </w:pBdr>
        <w:spacing w:before="100" w:after="120"/>
        <w:jc w:val="center"/>
        <w:rPr>
          <w:b/>
          <w:color w:val="000000"/>
          <w:sz w:val="20"/>
          <w:szCs w:val="20"/>
        </w:rPr>
      </w:pPr>
      <w:proofErr w:type="gramStart"/>
      <w:r>
        <w:rPr>
          <w:b/>
          <w:sz w:val="20"/>
          <w:szCs w:val="20"/>
        </w:rPr>
        <w:t xml:space="preserve">Madde </w:t>
      </w:r>
      <w:r>
        <w:rPr>
          <w:b/>
          <w:color w:val="000000"/>
          <w:sz w:val="20"/>
          <w:szCs w:val="20"/>
        </w:rPr>
        <w:t xml:space="preserve"> 82</w:t>
      </w:r>
      <w:proofErr w:type="gramEnd"/>
    </w:p>
    <w:p w:rsidR="00380A26" w:rsidRDefault="0059142E">
      <w:pPr>
        <w:pBdr>
          <w:top w:val="nil"/>
          <w:left w:val="nil"/>
          <w:bottom w:val="nil"/>
          <w:right w:val="nil"/>
          <w:between w:val="nil"/>
        </w:pBdr>
        <w:spacing w:before="120" w:after="120"/>
        <w:ind w:left="425" w:firstLine="142"/>
        <w:jc w:val="both"/>
        <w:rPr>
          <w:sz w:val="20"/>
          <w:szCs w:val="20"/>
        </w:rPr>
      </w:pPr>
      <w:r>
        <w:rPr>
          <w:color w:val="000000"/>
          <w:sz w:val="20"/>
          <w:szCs w:val="20"/>
        </w:rPr>
        <w:t xml:space="preserve">“1. </w:t>
      </w:r>
      <w:r>
        <w:rPr>
          <w:sz w:val="20"/>
          <w:szCs w:val="20"/>
        </w:rPr>
        <w:t>Danıştay Başkanı, Başsavcı, başkanvekilleri, daire başkanları ve üyelerin şahsi suçlarının takibinde Yargıtay Başkanı, Cumhuriyet Başsavcısı ve üyelerinin şahsi suçlarının takibi ile ilgili hükümler uygulanır.</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p>
    <w:p w:rsidR="00380A26" w:rsidRDefault="00380A26">
      <w:pPr>
        <w:pBdr>
          <w:top w:val="nil"/>
          <w:left w:val="nil"/>
          <w:bottom w:val="nil"/>
          <w:right w:val="nil"/>
          <w:between w:val="nil"/>
        </w:pBdr>
        <w:spacing w:before="120" w:after="120"/>
        <w:ind w:left="425" w:firstLine="142"/>
        <w:jc w:val="both"/>
        <w:rPr>
          <w:sz w:val="20"/>
          <w:szCs w:val="20"/>
        </w:rPr>
      </w:pPr>
    </w:p>
    <w:p w:rsidR="00380A26" w:rsidRDefault="0059142E">
      <w:pPr>
        <w:keepNext/>
        <w:keepLines/>
        <w:numPr>
          <w:ilvl w:val="2"/>
          <w:numId w:val="1"/>
        </w:numPr>
        <w:pBdr>
          <w:top w:val="nil"/>
          <w:left w:val="nil"/>
          <w:bottom w:val="nil"/>
          <w:right w:val="nil"/>
          <w:between w:val="nil"/>
        </w:pBdr>
        <w:spacing w:before="100" w:after="240"/>
        <w:jc w:val="both"/>
      </w:pPr>
      <w:r>
        <w:rPr>
          <w:b/>
        </w:rPr>
        <w:t>Yargıtay İçtihatları</w:t>
      </w:r>
    </w:p>
    <w:p w:rsidR="00380A26" w:rsidRDefault="0059142E">
      <w:pPr>
        <w:pBdr>
          <w:top w:val="nil"/>
          <w:left w:val="nil"/>
          <w:bottom w:val="nil"/>
          <w:right w:val="nil"/>
          <w:between w:val="nil"/>
        </w:pBdr>
        <w:ind w:firstLine="284"/>
        <w:jc w:val="both"/>
        <w:rPr>
          <w:color w:val="000000"/>
        </w:rPr>
      </w:pPr>
      <w:r>
        <w:rPr>
          <w:color w:val="000000"/>
        </w:rPr>
        <w:t>32. </w:t>
      </w:r>
      <w:r>
        <w:t>2 Temmuz 2019 t</w:t>
      </w:r>
      <w:r>
        <w:t>arihinde Yargıtay Ceza Genel Kurulu, FETÖ/PDY üyesi olduğundan şüphelenilen eski bir HSYK üyesi hakkında, diğer hususların yanı sıra, hazırlık soruşturmasının olağan hukuk kurallarına uygun olarak yürütülmesinin iç hukukla uyumluluğuna ilişkin (E. 2019/9.M</w:t>
      </w:r>
      <w:r>
        <w:t xml:space="preserve">D-312, K.2019/514) karar vermiştir. Kişisel bir suç olduğunu kaydettiği silahlı örgüt üyeliği suçunun unsurlarına ve “mütemadi suç” kavramına ilişkin içtihadını özetledikten sonra (bakınız, bu bağlamda, </w:t>
      </w:r>
      <w:r>
        <w:rPr>
          <w:i/>
        </w:rPr>
        <w:t>Baş</w:t>
      </w:r>
      <w:r>
        <w:t>, yukarıda anılan §§83-86 ve 90), Yargıtay, suçüst</w:t>
      </w:r>
      <w:r>
        <w:t>ü kavramının incelenmesine ve mütemadi suçlar bağlamında uygulanmasına hükmetmiştir. Yargıtay, Türk hukuk doktrinindeki hakim görüşe atıfta bulunarak, mütemadi suçların suçüstü hâlinde işlenebileceğini ve suç işlemeye devam edildiği müddetçe mütemadi bakım</w:t>
      </w:r>
      <w:r>
        <w:t>ından suçüstü hâlinin var olacağına hükmetmiştir. Yargıtay’ın hükmü şu şekildedir</w:t>
      </w:r>
      <w:r>
        <w:rPr>
          <w:color w:val="000000"/>
        </w:rPr>
        <w:t>:</w:t>
      </w:r>
    </w:p>
    <w:p w:rsidR="00380A26" w:rsidRDefault="0059142E">
      <w:pPr>
        <w:pBdr>
          <w:top w:val="nil"/>
          <w:left w:val="nil"/>
          <w:bottom w:val="nil"/>
          <w:right w:val="nil"/>
          <w:between w:val="nil"/>
        </w:pBdr>
        <w:spacing w:before="120" w:after="120" w:line="276" w:lineRule="auto"/>
        <w:ind w:left="425" w:firstLine="142"/>
        <w:jc w:val="both"/>
        <w:rPr>
          <w:color w:val="000000"/>
          <w:sz w:val="20"/>
          <w:szCs w:val="20"/>
        </w:rPr>
      </w:pPr>
      <w:r>
        <w:rPr>
          <w:color w:val="000000"/>
          <w:sz w:val="20"/>
          <w:szCs w:val="20"/>
        </w:rPr>
        <w:t>“</w:t>
      </w:r>
      <w:r>
        <w:rPr>
          <w:sz w:val="20"/>
          <w:szCs w:val="20"/>
        </w:rPr>
        <w:t>... Örgüt üyeliğine ilişkin genel açıklamalarda belirtildiği üzere, üyeliğin varlığının tespiti için failin somut eylemleriyle örgüt hiyerarşisine sürekli (...) boyun eğmesi yeterlidir. ... Buna göre üyeliğin (...) başka fiillerle gösterilmesine gerek yokt</w:t>
      </w:r>
      <w:r>
        <w:rPr>
          <w:sz w:val="20"/>
          <w:szCs w:val="20"/>
        </w:rPr>
        <w:t xml:space="preserve">ur …Öte yandan, failin suç örgütü üyesi olduğu şüphesini uyandıran delillerin yetkili makamlarca elde edilmiş olması ve bu delile dayanarak üyeliğin devamlılığının tesis edilmesi halinde..., </w:t>
      </w:r>
      <w:proofErr w:type="gramStart"/>
      <w:r>
        <w:rPr>
          <w:sz w:val="20"/>
          <w:szCs w:val="20"/>
        </w:rPr>
        <w:t>CMK'nın</w:t>
      </w:r>
      <w:proofErr w:type="gramEnd"/>
      <w:r>
        <w:rPr>
          <w:sz w:val="20"/>
          <w:szCs w:val="20"/>
        </w:rPr>
        <w:t xml:space="preserve"> 2 (j), 1. </w:t>
      </w:r>
      <w:proofErr w:type="gramStart"/>
      <w:r>
        <w:rPr>
          <w:sz w:val="20"/>
          <w:szCs w:val="20"/>
        </w:rPr>
        <w:t>paragrafı</w:t>
      </w:r>
      <w:proofErr w:type="gramEnd"/>
      <w:r>
        <w:rPr>
          <w:sz w:val="20"/>
          <w:szCs w:val="20"/>
        </w:rPr>
        <w:t xml:space="preserve"> bakımından failin [söz konusu] suçu i</w:t>
      </w:r>
      <w:r>
        <w:rPr>
          <w:sz w:val="20"/>
          <w:szCs w:val="20"/>
        </w:rPr>
        <w:t xml:space="preserve">şlerken [yakalandığını] kabul etmek ... hukuka aykırı değildir ve bu nedenle, [kendisi] suçüstü hali şartlarına tabi olabilir. Burada, failin suç teşkil </w:t>
      </w:r>
      <w:proofErr w:type="gramStart"/>
      <w:r>
        <w:rPr>
          <w:sz w:val="20"/>
          <w:szCs w:val="20"/>
        </w:rPr>
        <w:t>eden</w:t>
      </w:r>
      <w:proofErr w:type="gramEnd"/>
      <w:r>
        <w:rPr>
          <w:sz w:val="20"/>
          <w:szCs w:val="20"/>
        </w:rPr>
        <w:t xml:space="preserve"> fiilinin kamuoyu tarafından görülmesi gerekli değildir; yetkili makamların tutuklama anında örgüt </w:t>
      </w:r>
      <w:r>
        <w:rPr>
          <w:sz w:val="20"/>
          <w:szCs w:val="20"/>
        </w:rPr>
        <w:t>üyeliğinin devamlılığını gösteren fiillerin devam ettiğini ve failin örgütten ayrılmadığını bilmesi yeterlidir.</w:t>
      </w:r>
      <w:r>
        <w:rPr>
          <w:color w:val="000000"/>
          <w:sz w:val="20"/>
          <w:szCs w:val="20"/>
        </w:rPr>
        <w:t>”</w:t>
      </w:r>
    </w:p>
    <w:p w:rsidR="00380A26" w:rsidRDefault="0059142E">
      <w:pPr>
        <w:pBdr>
          <w:top w:val="nil"/>
          <w:left w:val="nil"/>
          <w:bottom w:val="nil"/>
          <w:right w:val="nil"/>
          <w:between w:val="nil"/>
        </w:pBdr>
        <w:ind w:firstLine="284"/>
        <w:jc w:val="both"/>
      </w:pPr>
      <w:bookmarkStart w:id="7" w:name="_heading=h.1ksv4uv" w:colFirst="0" w:colLast="0"/>
      <w:bookmarkEnd w:id="7"/>
      <w:r>
        <w:rPr>
          <w:color w:val="000000"/>
        </w:rPr>
        <w:lastRenderedPageBreak/>
        <w:t>33.</w:t>
      </w:r>
      <w:r>
        <w:t xml:space="preserve"> Yargıtay, Mahkeme’nin </w:t>
      </w:r>
      <w:r>
        <w:rPr>
          <w:i/>
        </w:rPr>
        <w:t>Alparslan Alta</w:t>
      </w:r>
      <w:r>
        <w:t>n davasındaki bulgularına aykırı olarak, hakim ve savcıların FETÖ/PDY üyesi oldukları iddiasıyla tutuklanması bağlamında “suçüstü hali” kavramını yorumlamasının, makul olmayan ve keyfi bir yargı yorumuna dayanmadığına hükmetmiştir. Anayasa Mahkemesi tarafı</w:t>
      </w:r>
      <w:r>
        <w:t xml:space="preserve">ndan da </w:t>
      </w:r>
      <w:proofErr w:type="gramStart"/>
      <w:r>
        <w:t>kabul</w:t>
      </w:r>
      <w:proofErr w:type="gramEnd"/>
      <w:r>
        <w:t xml:space="preserve"> gören bu yaklaşımı, daha ziyade Strazburg Mahkemesi tarafından dikkate alınmamış doktrine, organize suç teorisine ve her şeyden önce yasama organı tarafından tutarlı ve uyumlu bir şekilde çıkarılan iç hukuk hükümlerine dayanmaktadır.</w:t>
      </w:r>
    </w:p>
    <w:p w:rsidR="00380A26" w:rsidRDefault="0059142E">
      <w:pPr>
        <w:pBdr>
          <w:top w:val="nil"/>
          <w:left w:val="nil"/>
          <w:bottom w:val="nil"/>
          <w:right w:val="nil"/>
          <w:between w:val="nil"/>
        </w:pBdr>
        <w:ind w:firstLine="284"/>
        <w:jc w:val="both"/>
      </w:pPr>
      <w:r>
        <w:rPr>
          <w:color w:val="000000"/>
        </w:rPr>
        <w:t>34. </w:t>
      </w:r>
      <w:proofErr w:type="gramStart"/>
      <w:r>
        <w:t>CMK'</w:t>
      </w:r>
      <w:r>
        <w:t>nın</w:t>
      </w:r>
      <w:proofErr w:type="gramEnd"/>
      <w:r>
        <w:t xml:space="preserve"> 161. </w:t>
      </w:r>
      <w:proofErr w:type="gramStart"/>
      <w:r>
        <w:t>maddesinin</w:t>
      </w:r>
      <w:proofErr w:type="gramEnd"/>
      <w:r>
        <w:t xml:space="preserve"> 8. fıkrasına atıfta bulunarak, Yargıtay ayrıca, nitelikleri ve ağırlığı göz önüne alındığında, silahlı örgüt üyeliği de dahil olmak üzere belirli suçların, resmi bir görevin ifası sırasında veya bununla bağlantılı olarak işlenmiş olsa b</w:t>
      </w:r>
      <w:r>
        <w:t xml:space="preserve">ile, olağan hukuk hükümlerine göre soruşturmasının doğrudan savcılar tarafından yürütüleceğini belirtmiştir. Buna göre, bu tür ağır suçlar söz konusu olduğunda, </w:t>
      </w:r>
      <w:proofErr w:type="gramStart"/>
      <w:r>
        <w:t>CMK'nın</w:t>
      </w:r>
      <w:proofErr w:type="gramEnd"/>
      <w:r>
        <w:t xml:space="preserve"> 161. </w:t>
      </w:r>
      <w:proofErr w:type="gramStart"/>
      <w:r>
        <w:t>maddesinin</w:t>
      </w:r>
      <w:proofErr w:type="gramEnd"/>
      <w:r>
        <w:t xml:space="preserve"> 8. fıkrasının gereklilikleri, geçerli ve belirli yasalarda öngörülen öz</w:t>
      </w:r>
      <w:r>
        <w:t xml:space="preserve">el soruşturma prosedürleri - örneğin 2797 sayılı Kanun’un Yargıtay üyeleri hakkında hükümleri - suçüstü halinin bulunup bulunmadığına bakılmaksızın uygulanmaz. Yargıtay, </w:t>
      </w:r>
      <w:r>
        <w:rPr>
          <w:i/>
        </w:rPr>
        <w:t>Alparslan Altan</w:t>
      </w:r>
      <w:r>
        <w:t xml:space="preserve"> kararında, Mahkeme'nin tutukluluğun hukuka uygunluğu konusunu </w:t>
      </w:r>
      <w:proofErr w:type="gramStart"/>
      <w:r>
        <w:t>CMK'nın</w:t>
      </w:r>
      <w:proofErr w:type="gramEnd"/>
      <w:r>
        <w:t xml:space="preserve"> </w:t>
      </w:r>
      <w:r>
        <w:t xml:space="preserve">161 .maddesinin 8. </w:t>
      </w:r>
      <w:proofErr w:type="gramStart"/>
      <w:r>
        <w:t>fıkrası</w:t>
      </w:r>
      <w:proofErr w:type="gramEnd"/>
      <w:r>
        <w:t xml:space="preserve"> açısından değerlendirmediğini ileri sürmüştür.</w:t>
      </w:r>
    </w:p>
    <w:p w:rsidR="00380A26" w:rsidRDefault="0059142E">
      <w:pPr>
        <w:pBdr>
          <w:top w:val="nil"/>
          <w:left w:val="nil"/>
          <w:bottom w:val="nil"/>
          <w:right w:val="nil"/>
          <w:between w:val="nil"/>
        </w:pBdr>
        <w:ind w:firstLine="284"/>
        <w:jc w:val="both"/>
      </w:pPr>
      <w:r>
        <w:rPr>
          <w:color w:val="000000"/>
        </w:rPr>
        <w:t>35. </w:t>
      </w:r>
      <w:r>
        <w:t>Yargıtay, yukarıdakiler ışığında, sanık hakkında olağan hukuk hükümlerine göre yürütülen soruşturmanın ilgili yasal çerçeveye uygun olduğu, hukukun kapsamlı veya keyfi bir yorumu</w:t>
      </w:r>
      <w:r>
        <w:t>ndan kaynaklanmadığını ve dolayısıyla “hukukun niteliğinin” gerekleriyle uyumlu olduğunu sonucuna varmıştır.</w:t>
      </w:r>
    </w:p>
    <w:p w:rsidR="00380A26" w:rsidRDefault="00380A26">
      <w:pPr>
        <w:pBdr>
          <w:top w:val="nil"/>
          <w:left w:val="nil"/>
          <w:bottom w:val="nil"/>
          <w:right w:val="nil"/>
          <w:between w:val="nil"/>
        </w:pBdr>
        <w:ind w:firstLine="284"/>
        <w:jc w:val="both"/>
      </w:pPr>
    </w:p>
    <w:p w:rsidR="00380A26" w:rsidRDefault="0059142E">
      <w:pPr>
        <w:keepNext/>
        <w:keepLines/>
        <w:numPr>
          <w:ilvl w:val="2"/>
          <w:numId w:val="1"/>
        </w:numPr>
        <w:pBdr>
          <w:top w:val="nil"/>
          <w:left w:val="nil"/>
          <w:bottom w:val="nil"/>
          <w:right w:val="nil"/>
          <w:between w:val="nil"/>
        </w:pBdr>
        <w:spacing w:before="100" w:after="240"/>
        <w:jc w:val="both"/>
        <w:rPr>
          <w:b/>
          <w:color w:val="000000"/>
        </w:rPr>
      </w:pPr>
      <w:r>
        <w:rPr>
          <w:b/>
          <w:color w:val="000000"/>
        </w:rPr>
        <w:t xml:space="preserve">Anayasa </w:t>
      </w:r>
      <w:r>
        <w:rPr>
          <w:b/>
        </w:rPr>
        <w:t>Mahkemesi İçtihatları</w:t>
      </w:r>
    </w:p>
    <w:p w:rsidR="00380A26" w:rsidRDefault="0059142E">
      <w:pPr>
        <w:keepNext/>
        <w:keepLines/>
        <w:numPr>
          <w:ilvl w:val="3"/>
          <w:numId w:val="1"/>
        </w:numPr>
        <w:pBdr>
          <w:top w:val="nil"/>
          <w:left w:val="nil"/>
          <w:bottom w:val="nil"/>
          <w:right w:val="nil"/>
          <w:between w:val="nil"/>
        </w:pBdr>
        <w:spacing w:before="100" w:after="120"/>
        <w:jc w:val="both"/>
      </w:pPr>
      <w:bookmarkStart w:id="8" w:name="_heading=h.2jxsxqh" w:colFirst="0" w:colLast="0"/>
      <w:bookmarkEnd w:id="8"/>
      <w:r>
        <w:rPr>
          <w:i/>
          <w:color w:val="000000"/>
        </w:rPr>
        <w:t xml:space="preserve">Selim Öztürk </w:t>
      </w:r>
      <w:r>
        <w:rPr>
          <w:i/>
        </w:rPr>
        <w:t>kararı</w:t>
      </w:r>
      <w:r>
        <w:rPr>
          <w:i/>
          <w:color w:val="000000"/>
        </w:rPr>
        <w:t xml:space="preserve"> (</w:t>
      </w:r>
      <w:r>
        <w:rPr>
          <w:i/>
        </w:rPr>
        <w:t>başvuru</w:t>
      </w:r>
      <w:r>
        <w:rPr>
          <w:i/>
          <w:color w:val="000000"/>
        </w:rPr>
        <w:t xml:space="preserve"> no. 2017/4834, 8 Mayıs 2019)</w:t>
      </w:r>
    </w:p>
    <w:p w:rsidR="00380A26" w:rsidRDefault="0059142E">
      <w:pPr>
        <w:pBdr>
          <w:top w:val="nil"/>
          <w:left w:val="nil"/>
          <w:bottom w:val="nil"/>
          <w:right w:val="nil"/>
          <w:between w:val="nil"/>
        </w:pBdr>
        <w:ind w:firstLine="284"/>
        <w:jc w:val="both"/>
      </w:pPr>
      <w:r>
        <w:rPr>
          <w:color w:val="000000"/>
        </w:rPr>
        <w:t>36. </w:t>
      </w:r>
      <w:r>
        <w:t>Anayasa Mahkemesi 8 Mayıs 2019 tarihinde verdiği bir kararda, 2802 sayılı Kanun’a tabi normal hakim olarak görev yapan Selim Öztürk'ün 21 Temmuz 2016 tarihinde tutukluluk halinin hukuka aykırı olduğu iddiasıyla ilgili şikayetini incelemiştir. Anayasa Mahke</w:t>
      </w:r>
      <w:r>
        <w:t xml:space="preserve">mesi kararında yer </w:t>
      </w:r>
      <w:proofErr w:type="gramStart"/>
      <w:r>
        <w:t>alan</w:t>
      </w:r>
      <w:proofErr w:type="gramEnd"/>
      <w:r>
        <w:t xml:space="preserve"> alıntıya göre, Ankara sulh ceza hakimliği tarafından CMK'nın 100 ve 101. </w:t>
      </w:r>
      <w:proofErr w:type="gramStart"/>
      <w:r>
        <w:t>maddelerine</w:t>
      </w:r>
      <w:proofErr w:type="gramEnd"/>
      <w:r>
        <w:t xml:space="preserve"> dayanılarak ve 2802 Sayılı Kanun'un 94. </w:t>
      </w:r>
      <w:proofErr w:type="gramStart"/>
      <w:r>
        <w:t>maddesine</w:t>
      </w:r>
      <w:proofErr w:type="gramEnd"/>
      <w:r>
        <w:t xml:space="preserve"> özel bir atıfta bulunulmaksızın veya suçüstü hali olmaksızın Bay Öztürk'ün tutuklulanmasına karar</w:t>
      </w:r>
      <w:r>
        <w:t xml:space="preserve"> verilmiştir. </w:t>
      </w:r>
      <w:proofErr w:type="gramStart"/>
      <w:r>
        <w:t>Anayasa Mahkemesi, söz konusu tutuklama kararının hukuka uygunluğunu savunurken, yine de, Yargıtay'ın konuyla ilgili tutarlı içtihatlarını göz önünde bulundurarak, söz konusu hakimin suçüstü hâlinde yakalanmış olduğuna karar vermenin, silahlı</w:t>
      </w:r>
      <w:r>
        <w:t xml:space="preserve"> terör örgütüne üye olma suçundan şüphelenilen hakim ve savcıların tutuklanması sırasında suçüstü hâlinin varlığının – darbe girişiminin arkasındaki örgüt üyeliğine yönelik darbe girişimini bastırma çabalarının sırasında gözaltına alındığı gerçeğiyle de fi</w:t>
      </w:r>
      <w:r>
        <w:t>ilen ve hukuken makul olduğunu tespit etmiştir.</w:t>
      </w:r>
      <w:proofErr w:type="gramEnd"/>
    </w:p>
    <w:p w:rsidR="00380A26" w:rsidRDefault="00380A26">
      <w:pPr>
        <w:pBdr>
          <w:top w:val="nil"/>
          <w:left w:val="nil"/>
          <w:bottom w:val="nil"/>
          <w:right w:val="nil"/>
          <w:between w:val="nil"/>
        </w:pBdr>
        <w:ind w:firstLine="284"/>
        <w:jc w:val="both"/>
      </w:pPr>
    </w:p>
    <w:p w:rsidR="00380A26" w:rsidRDefault="0059142E">
      <w:pPr>
        <w:keepNext/>
        <w:keepLines/>
        <w:numPr>
          <w:ilvl w:val="3"/>
          <w:numId w:val="1"/>
        </w:numPr>
        <w:pBdr>
          <w:top w:val="nil"/>
          <w:left w:val="nil"/>
          <w:bottom w:val="nil"/>
          <w:right w:val="nil"/>
          <w:between w:val="nil"/>
        </w:pBdr>
        <w:spacing w:before="100" w:after="120"/>
        <w:jc w:val="both"/>
      </w:pPr>
      <w:bookmarkStart w:id="9" w:name="_heading=h.3j2qqm3" w:colFirst="0" w:colLast="0"/>
      <w:bookmarkEnd w:id="9"/>
      <w:r>
        <w:rPr>
          <w:i/>
          <w:color w:val="000000"/>
        </w:rPr>
        <w:t xml:space="preserve">Yıldırım Turan </w:t>
      </w:r>
      <w:r>
        <w:rPr>
          <w:i/>
        </w:rPr>
        <w:t>kararı</w:t>
      </w:r>
      <w:r>
        <w:rPr>
          <w:i/>
          <w:color w:val="000000"/>
        </w:rPr>
        <w:t xml:space="preserve"> (</w:t>
      </w:r>
      <w:r>
        <w:rPr>
          <w:i/>
        </w:rPr>
        <w:t>başvuru</w:t>
      </w:r>
      <w:r>
        <w:rPr>
          <w:i/>
          <w:color w:val="000000"/>
        </w:rPr>
        <w:t xml:space="preserve"> no. 2017/10536, 4 </w:t>
      </w:r>
      <w:r>
        <w:rPr>
          <w:i/>
        </w:rPr>
        <w:t>Haziran</w:t>
      </w:r>
      <w:r>
        <w:rPr>
          <w:i/>
          <w:color w:val="000000"/>
        </w:rPr>
        <w:t xml:space="preserve"> 2020)</w:t>
      </w:r>
    </w:p>
    <w:p w:rsidR="00380A26" w:rsidRDefault="0059142E">
      <w:pPr>
        <w:pBdr>
          <w:top w:val="nil"/>
          <w:left w:val="nil"/>
          <w:bottom w:val="nil"/>
          <w:right w:val="nil"/>
          <w:between w:val="nil"/>
        </w:pBdr>
        <w:ind w:firstLine="284"/>
        <w:jc w:val="both"/>
      </w:pPr>
      <w:r>
        <w:rPr>
          <w:color w:val="000000"/>
        </w:rPr>
        <w:t>37. </w:t>
      </w:r>
      <w:r>
        <w:t>4 Haziran 2020 tarihinde Anayasa Mahkemesi Genel Kurulu, Yıldırım Turan'ın 2802 sayılı Kanun’a tabi bir yargıcın darbe girişimi sonrasında F</w:t>
      </w:r>
      <w:r>
        <w:t xml:space="preserve">ETÖ/PDY üyeliği şüphesiyle tutukluluğuna ilişkin davasında </w:t>
      </w:r>
      <w:proofErr w:type="gramStart"/>
      <w:r>
        <w:t>kabul</w:t>
      </w:r>
      <w:proofErr w:type="gramEnd"/>
      <w:r>
        <w:t xml:space="preserve"> edilemezlik kararı vermiştir. Mevcut başvurucular gibi, bu davada başvurucu, diğerlerinin yanı sıra, 2802 sayılı Kanun uyarınca yargı mensuplarına tanınan özel usuli güvencelere saygı gösteri</w:t>
      </w:r>
      <w:r>
        <w:t>lmeden tutukluluğuna hükmedildiğinden şikayetçi olmuştur.</w:t>
      </w:r>
    </w:p>
    <w:p w:rsidR="00380A26" w:rsidRDefault="0059142E">
      <w:pPr>
        <w:pBdr>
          <w:top w:val="nil"/>
          <w:left w:val="nil"/>
          <w:bottom w:val="nil"/>
          <w:right w:val="nil"/>
          <w:between w:val="nil"/>
        </w:pBdr>
        <w:ind w:firstLine="284"/>
        <w:jc w:val="both"/>
      </w:pPr>
      <w:bookmarkStart w:id="10" w:name="_heading=h.4i7ojhp" w:colFirst="0" w:colLast="0"/>
      <w:bookmarkEnd w:id="10"/>
      <w:proofErr w:type="gramStart"/>
      <w:r>
        <w:rPr>
          <w:color w:val="000000"/>
        </w:rPr>
        <w:t>38. </w:t>
      </w:r>
      <w:r>
        <w:t xml:space="preserve">Anayasa Mahkemesi, hem yüksek mahkeme üyeleri (örneğin </w:t>
      </w:r>
      <w:r>
        <w:rPr>
          <w:i/>
        </w:rPr>
        <w:t>Alparslan Altan</w:t>
      </w:r>
      <w:r>
        <w:t xml:space="preserve">, no. 2016/15586, 11 Ocak 2018, </w:t>
      </w:r>
      <w:r>
        <w:rPr>
          <w:i/>
        </w:rPr>
        <w:t>Salih Sönmez</w:t>
      </w:r>
      <w:r>
        <w:t xml:space="preserve">, no. 2016/25431, 28 Kasım 2018 ve </w:t>
      </w:r>
      <w:r>
        <w:rPr>
          <w:i/>
        </w:rPr>
        <w:t>Hannan Yılbaşı</w:t>
      </w:r>
      <w:r>
        <w:t xml:space="preserve">, no. 2016/37380, 17 Temmuz 2019, sırasıyla Anayasa Mahkemesi, Yargıtay ve Danıştay üyeleri) hem de normal hakimler (örneğin </w:t>
      </w:r>
      <w:r>
        <w:rPr>
          <w:i/>
        </w:rPr>
        <w:t>Adem Türkel</w:t>
      </w:r>
      <w:r>
        <w:t>, no. 2017/632, 23 Ocak 2019) açısından bu konuyu ele aldığı birçok karar verdiğini daha başlangıçta belirtmiştir.</w:t>
      </w:r>
      <w:proofErr w:type="gramEnd"/>
      <w:r>
        <w:t xml:space="preserve"> İlgil</w:t>
      </w:r>
      <w:r>
        <w:t xml:space="preserve">i yasal çerçeveye ve Yargıtay içtihatlarına dayanarak, söz konusu suçun, yani silahlı terör örgütü üyeliğinin, temadi </w:t>
      </w:r>
      <w:proofErr w:type="gramStart"/>
      <w:r>
        <w:t>eden</w:t>
      </w:r>
      <w:proofErr w:type="gramEnd"/>
      <w:r>
        <w:t xml:space="preserve"> nitelikte kişisel bir suç olduğuna tüm bu kararlarında belirtmiştir. Bu durum, tutuklama anında suçun işlenmesinin devam ettiği ve do</w:t>
      </w:r>
      <w:r>
        <w:t>layısıyla ilgili tüm davalarda ağır ceza mahkemelerinin yargı yetkisine giren suçüstü hallerin ortaya çıkarılmasını gerektiren bir durum olduğu anlamına gelmektedir, dolayısıyla söz konusu yargı mensuplarını yöneten farklı kanunlarda öngörülen özel usuli g</w:t>
      </w:r>
      <w:r>
        <w:t>üvenceler uygulanamaz hale gelmiştir.</w:t>
      </w:r>
    </w:p>
    <w:p w:rsidR="00380A26" w:rsidRDefault="0059142E">
      <w:pPr>
        <w:pBdr>
          <w:top w:val="nil"/>
          <w:left w:val="nil"/>
          <w:bottom w:val="nil"/>
          <w:right w:val="nil"/>
          <w:between w:val="nil"/>
        </w:pBdr>
        <w:ind w:firstLine="284"/>
        <w:jc w:val="both"/>
      </w:pPr>
      <w:bookmarkStart w:id="11" w:name="_heading=h.1ci93xb" w:colFirst="0" w:colLast="0"/>
      <w:bookmarkEnd w:id="11"/>
      <w:proofErr w:type="gramStart"/>
      <w:r>
        <w:rPr>
          <w:color w:val="000000"/>
        </w:rPr>
        <w:t>39.</w:t>
      </w:r>
      <w:r>
        <w:rPr>
          <w:color w:val="000000"/>
        </w:rPr>
        <w:t> </w:t>
      </w:r>
      <w:r>
        <w:t>31 Ekim 2019 tar</w:t>
      </w:r>
      <w:r w:rsidR="005E387D">
        <w:t>ihinde verilen iki ek kararda (</w:t>
      </w:r>
      <w:r>
        <w:rPr>
          <w:i/>
        </w:rPr>
        <w:t>A.B.</w:t>
      </w:r>
      <w:r>
        <w:t xml:space="preserve">, 2016/22702 ve </w:t>
      </w:r>
      <w:r>
        <w:rPr>
          <w:i/>
        </w:rPr>
        <w:t>Mustafa Özterzi</w:t>
      </w:r>
      <w:r>
        <w:t xml:space="preserve">, 2016/14597, sırasıyla Yargıtay üyesi ve normal bir hakim hakkında), bu içtihadı pekiştirmiş ve tutuklanan kişilerin FETÖ/PDY ile </w:t>
      </w:r>
      <w:r>
        <w:t>örgütsel bir ilişkisi olduğu düşünüldüğünde, darbe girişiminin arkasında olduğunu ve tutuklamalarla bu girişimin önlenmesine yönelik çalışmaların devam ettiği, ulusal güvenlik ve kamu düzenine yönelik tehdidin devam ettiği bir dönemde gerçekleştiğinden bah</w:t>
      </w:r>
      <w:r>
        <w:t>isle mevcut koşullarda suçüstü halinde bulunma durumu asılsız sayılamayacağının altını çizmiştir.</w:t>
      </w:r>
      <w:proofErr w:type="gramEnd"/>
      <w:r>
        <w:t xml:space="preserve"> Bu nedenle Anayasa Mahkemesi, darbe girişimi sonrasında tutuklanan yargı mensupları hakkında suçüstü tespit davasının varlığını </w:t>
      </w:r>
      <w:proofErr w:type="gramStart"/>
      <w:r>
        <w:t>kabul</w:t>
      </w:r>
      <w:proofErr w:type="gramEnd"/>
      <w:r>
        <w:t xml:space="preserve"> ederken, esas referans n</w:t>
      </w:r>
      <w:r>
        <w:t>oktasının darbe girişiminin kendisi olduğunu yinelemiştir.</w:t>
      </w:r>
    </w:p>
    <w:p w:rsidR="00380A26" w:rsidRDefault="0059142E">
      <w:pPr>
        <w:pBdr>
          <w:top w:val="nil"/>
          <w:left w:val="nil"/>
          <w:bottom w:val="nil"/>
          <w:right w:val="nil"/>
          <w:between w:val="nil"/>
        </w:pBdr>
        <w:ind w:firstLine="284"/>
        <w:jc w:val="both"/>
      </w:pPr>
      <w:r>
        <w:rPr>
          <w:color w:val="000000"/>
        </w:rPr>
        <w:t>40. </w:t>
      </w:r>
      <w:r>
        <w:t xml:space="preserve">Anayasa Mahkemesi daha sonra, Mahkeme'nin </w:t>
      </w:r>
      <w:r>
        <w:rPr>
          <w:i/>
        </w:rPr>
        <w:t>Alparslan Altan</w:t>
      </w:r>
      <w:r>
        <w:t xml:space="preserve">'da (yukarıda adı geçen) geniş kapsamlı davaya ilişkin daha önce vardığı sonuçlara dayanarak 5. </w:t>
      </w:r>
      <w:proofErr w:type="gramStart"/>
      <w:r>
        <w:t>maddenin</w:t>
      </w:r>
      <w:proofErr w:type="gramEnd"/>
      <w:r>
        <w:t xml:space="preserve"> 1. </w:t>
      </w:r>
      <w:proofErr w:type="gramStart"/>
      <w:r>
        <w:t>fıkrasının</w:t>
      </w:r>
      <w:proofErr w:type="gramEnd"/>
      <w:r>
        <w:t xml:space="preserve"> ihlal edildiğine </w:t>
      </w:r>
      <w:r>
        <w:t xml:space="preserve">karar verdiği </w:t>
      </w:r>
      <w:r>
        <w:rPr>
          <w:i/>
        </w:rPr>
        <w:t>Baş</w:t>
      </w:r>
      <w:r>
        <w:t xml:space="preserve"> davasındaki  (yukarıda anılan) suçüstü kavramının yerel mahkemeler tarafından yorumlanması ile ilgili olarak kararı incelemeye devam etmiştir. Anayasa Mahkemesi'ne göre, Mahkeme'nin bu davadaki bulguları, </w:t>
      </w:r>
      <w:proofErr w:type="gramStart"/>
      <w:r>
        <w:t>Sözleşme'nin</w:t>
      </w:r>
      <w:proofErr w:type="gramEnd"/>
      <w:r>
        <w:t xml:space="preserve"> uygulanmasına değil,</w:t>
      </w:r>
      <w:r>
        <w:t xml:space="preserve"> ilgili Türk hukukunun yorumlanmasına ilişkin bir değerlendirmeyi içermektedir. Anayasa Mahkemesi, Mahkeme kararlarının bağlayıcı niteliğini </w:t>
      </w:r>
      <w:proofErr w:type="gramStart"/>
      <w:r>
        <w:t>kabul</w:t>
      </w:r>
      <w:proofErr w:type="gramEnd"/>
      <w:r>
        <w:t xml:space="preserve"> etmekle birlikte, Anayasa Mahkemesi üyelerinin tutuklanmasına ilişkin iç hukuk hükümlerini yorumlamanın Türk </w:t>
      </w:r>
      <w:r>
        <w:lastRenderedPageBreak/>
        <w:t xml:space="preserve">yargı makamlarına ve nihayetinde yerel mahkemelere düştüğünü vurgulamıştır. Mahkeme, Türk mahkemeleri tarafından iç hukuka yapılan yorumun Sözleşme tarafından güvence altına alınan hak ve özgürlükleri ihlal edip etmediğini değerlendirmeye yetkili olmasına </w:t>
      </w:r>
      <w:proofErr w:type="gramStart"/>
      <w:r>
        <w:t>rağmen,</w:t>
      </w:r>
      <w:proofErr w:type="gramEnd"/>
      <w:r>
        <w:t xml:space="preserve"> yerel mahkemelerin yerine geçmemesi ve iç hukuku ilk elden yorumlamaması gerektiğine karar vermiştir. Bu nedenle, yargı mensuplarının soruşturma ve tutukluluk hallerini düzenleyen ilgili yerel yasal çerçeveyi ve uygulamayı yeniden özetlemenin yarar</w:t>
      </w:r>
      <w:r>
        <w:t>lı olduğu kanaatindedir.</w:t>
      </w:r>
    </w:p>
    <w:p w:rsidR="00380A26" w:rsidRDefault="0059142E">
      <w:pPr>
        <w:pBdr>
          <w:top w:val="nil"/>
          <w:left w:val="nil"/>
          <w:bottom w:val="nil"/>
          <w:right w:val="nil"/>
          <w:between w:val="nil"/>
        </w:pBdr>
        <w:ind w:firstLine="284"/>
        <w:jc w:val="both"/>
      </w:pPr>
      <w:r>
        <w:rPr>
          <w:color w:val="000000"/>
        </w:rPr>
        <w:t>41.</w:t>
      </w:r>
      <w:r>
        <w:t xml:space="preserve"> Anayasa Mahkemesi, esasen, ağır ceza mahkemelerinin yargı yetkisine giren suçüstü hâlinin varlığının, hangi mahkeme düzeyi veya türü olduğuna bakılmaksızın tüm hakim ve savcılara tanınan usuli güvencelere bir istisna teşkil ett</w:t>
      </w:r>
      <w:r>
        <w:t xml:space="preserve">iğini kaydetmiştir. Bununla birlikte, yüksek mahkeme üyelerini ve </w:t>
      </w:r>
      <w:proofErr w:type="gramStart"/>
      <w:r>
        <w:t>HSYK'nın</w:t>
      </w:r>
      <w:proofErr w:type="gramEnd"/>
      <w:r>
        <w:t xml:space="preserve"> seçilmiş yargıçlarını düzenleyen yasal çerçeveden farklı olarak, kişisel ve görevle ilgili suçlar arasındaki ayrımın ilgili usuli güvencelerin uygulanması için önemsiz olduğu duruml</w:t>
      </w:r>
      <w:r>
        <w:t xml:space="preserve">arda, 2802 Sayılı Kanun'un 93. </w:t>
      </w:r>
      <w:proofErr w:type="gramStart"/>
      <w:r>
        <w:t>maddesi</w:t>
      </w:r>
      <w:proofErr w:type="gramEnd"/>
      <w:r>
        <w:t xml:space="preserve"> bağlamında normal hakim ve savcılar tarafından işlenen “kişisel suçlar” meslekleri nedeniyle aynı kanunla kendilerine tanınan korumanın dışında kalacaktır. Bu tür suçlarla ilgili olarak alınan tedbirler, suçüstü hâlin</w:t>
      </w:r>
      <w:r>
        <w:t>de bulunsun veya bulunmasın, bu nedenle olağan hukuk kurallarına tabi olacaktır.</w:t>
      </w:r>
    </w:p>
    <w:p w:rsidR="00380A26" w:rsidRDefault="0059142E">
      <w:pPr>
        <w:pBdr>
          <w:top w:val="nil"/>
          <w:left w:val="nil"/>
          <w:bottom w:val="nil"/>
          <w:right w:val="nil"/>
          <w:between w:val="nil"/>
        </w:pBdr>
        <w:ind w:firstLine="284"/>
        <w:jc w:val="both"/>
      </w:pPr>
      <w:r>
        <w:rPr>
          <w:color w:val="000000"/>
        </w:rPr>
        <w:t>42.  </w:t>
      </w:r>
      <w:r>
        <w:t>Buna göre, mevcut bağlamda normal bir hakim veya savcının tutukluluk halinin hukuka uygunluğu değerlendirilirken, kendisine isnat edilen suçun kişisel bir suç mu, yoksa v</w:t>
      </w:r>
      <w:r>
        <w:t>eya görevlerin yerine getirilmesi ile bağlantılı olarak incelenmelidir. Yargıtay'ın darbe girişimi sonrasında verdiği bir dizi karara ve aynı döneme ilişkin kendi içtihatlarına dayanarak, terör örgütüne üyelik suçunun kamu görevlilerinin görevleri gereği b</w:t>
      </w:r>
      <w:r>
        <w:t>ir kişi tarafından işlenemeyeceğini yinelendiğinden, Bay Yıldırım Turan hakkında ceza soruşturması açılması ve yargılanması idari bir makamın iznine tabi olmamıştır. Bu nedenle, olağan hukuk hükümlerine göre tutuklanmasının önünde hiçbir yasal engel bulunm</w:t>
      </w:r>
      <w:r>
        <w:t>amaktadır.</w:t>
      </w:r>
    </w:p>
    <w:p w:rsidR="00380A26" w:rsidRDefault="0059142E">
      <w:pPr>
        <w:pBdr>
          <w:top w:val="nil"/>
          <w:left w:val="nil"/>
          <w:bottom w:val="nil"/>
          <w:right w:val="nil"/>
          <w:between w:val="nil"/>
        </w:pBdr>
        <w:ind w:firstLine="284"/>
        <w:jc w:val="both"/>
      </w:pPr>
      <w:bookmarkStart w:id="12" w:name="_heading=h.2bn6wsx" w:colFirst="0" w:colLast="0"/>
      <w:bookmarkEnd w:id="12"/>
      <w:r>
        <w:rPr>
          <w:color w:val="000000"/>
        </w:rPr>
        <w:t>43.  </w:t>
      </w:r>
      <w:r>
        <w:t xml:space="preserve">Durum böyle olunca, Anayasa Mahkemesi, 2802 sayılı Kanun'un 94. </w:t>
      </w:r>
      <w:proofErr w:type="gramStart"/>
      <w:r>
        <w:t>maddesi</w:t>
      </w:r>
      <w:proofErr w:type="gramEnd"/>
      <w:r>
        <w:t xml:space="preserve"> anlamında suçüstü hâlinin bulunup bulunmadığına ilişkin Yıldırım Turan'ın tutuklanmasının hukuka uygunluğuyla ilgili değil ancak yer bakımından yetkili yargı merciinin </w:t>
      </w:r>
      <w:r>
        <w:t>soruşturmayı yürütmesi ve tutuklu yargılanmasına karar verecek merciinin belirlenmesiyle ilgili olduğu belirtilmiştir. Dolayısıyla, Bay Yıldırım Turan'ın özgürlüğünden yoksun bırakılmasının yasal bir dayanağı olmadığı yönündeki iddiasını reddetmiştir.</w:t>
      </w:r>
    </w:p>
    <w:p w:rsidR="00380A26" w:rsidRDefault="00380A26">
      <w:pPr>
        <w:pBdr>
          <w:top w:val="nil"/>
          <w:left w:val="nil"/>
          <w:bottom w:val="nil"/>
          <w:right w:val="nil"/>
          <w:between w:val="nil"/>
        </w:pBdr>
        <w:ind w:firstLine="284"/>
        <w:jc w:val="both"/>
      </w:pPr>
      <w:bookmarkStart w:id="13" w:name="_heading=h.1404ap4h7rgz" w:colFirst="0" w:colLast="0"/>
      <w:bookmarkEnd w:id="13"/>
    </w:p>
    <w:p w:rsidR="00380A26" w:rsidRDefault="0059142E">
      <w:pPr>
        <w:keepNext/>
        <w:keepLines/>
        <w:numPr>
          <w:ilvl w:val="1"/>
          <w:numId w:val="1"/>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rPr>
        <w:t>ULUSLARARASI BELGELER</w:t>
      </w:r>
    </w:p>
    <w:p w:rsidR="00380A26" w:rsidRDefault="0059142E">
      <w:pPr>
        <w:pBdr>
          <w:top w:val="nil"/>
          <w:left w:val="nil"/>
          <w:bottom w:val="nil"/>
          <w:right w:val="nil"/>
          <w:between w:val="nil"/>
        </w:pBdr>
        <w:ind w:firstLine="284"/>
        <w:jc w:val="both"/>
      </w:pPr>
      <w:r>
        <w:rPr>
          <w:color w:val="000000"/>
        </w:rPr>
        <w:t>44.</w:t>
      </w:r>
      <w:r w:rsidR="005E387D">
        <w:rPr>
          <w:color w:val="000000"/>
        </w:rPr>
        <w:t xml:space="preserve"> </w:t>
      </w:r>
      <w:r>
        <w:t>Hükümet, Bakanlar Komitesi’nin üye Devletlere sunduğu “Hâkimlerin Bağımsızlığı, Etkinliği ve Sorumlulukları” başlıklı ve 17 Kasım 2010 tarihinde kabul edilen CM/</w:t>
      </w:r>
      <w:proofErr w:type="gramStart"/>
      <w:r>
        <w:t>Rec(</w:t>
      </w:r>
      <w:proofErr w:type="gramEnd"/>
      <w:r>
        <w:t>2010)12 sayılı Tavsiye Kararına atıfta bulunmuştur. Tavsiye Ka</w:t>
      </w:r>
      <w:r>
        <w:t xml:space="preserve">rarının ilgili bölümleri </w:t>
      </w:r>
      <w:r>
        <w:rPr>
          <w:i/>
        </w:rPr>
        <w:t>Alparslan Altan</w:t>
      </w:r>
      <w:r>
        <w:t xml:space="preserve"> davasında belirtilmiştir (yukarıda anılan, § 65).</w:t>
      </w:r>
    </w:p>
    <w:p w:rsidR="00380A26" w:rsidRDefault="0059142E">
      <w:pPr>
        <w:pBdr>
          <w:top w:val="nil"/>
          <w:left w:val="nil"/>
          <w:bottom w:val="nil"/>
          <w:right w:val="nil"/>
          <w:between w:val="nil"/>
        </w:pBdr>
        <w:ind w:firstLine="284"/>
        <w:jc w:val="both"/>
      </w:pPr>
      <w:r>
        <w:rPr>
          <w:color w:val="000000"/>
        </w:rPr>
        <w:lastRenderedPageBreak/>
        <w:t>45.  </w:t>
      </w:r>
      <w:r>
        <w:t xml:space="preserve">Ayrıca, ilgili kısmı aşağıdaki gibi olan, Avrupa Hâkimleri Danışma Konseyi'nin (CCJE) 19 Kasım 2002 tarihli “Hâkimlerin Mesleki Davranışlarını, Özellikle Etik, </w:t>
      </w:r>
      <w:r>
        <w:t xml:space="preserve">Uyumsuz Davranış ve Tarafsızlığı Yöneten İlkeler ve Kurallar” hakkındaki 3 numaralı görüşünü Mahkeme’nin dikkatine sunmuştur: </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r>
        <w:rPr>
          <w:sz w:val="20"/>
          <w:szCs w:val="20"/>
        </w:rPr>
        <w:t>Madde</w:t>
      </w:r>
      <w:r>
        <w:rPr>
          <w:color w:val="000000"/>
          <w:sz w:val="20"/>
          <w:szCs w:val="20"/>
        </w:rPr>
        <w:t xml:space="preserve"> 75: </w:t>
      </w:r>
      <w:r>
        <w:rPr>
          <w:sz w:val="20"/>
          <w:szCs w:val="20"/>
        </w:rPr>
        <w:t>Cezai sorumluluğa ilişkin olarak, CCJE şunları değerlendirmektedir</w:t>
      </w:r>
      <w:r>
        <w:rPr>
          <w:color w:val="000000"/>
          <w:sz w:val="20"/>
          <w:szCs w:val="20"/>
        </w:rPr>
        <w:t>:</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 xml:space="preserve">i) </w:t>
      </w:r>
      <w:proofErr w:type="gramStart"/>
      <w:r>
        <w:rPr>
          <w:sz w:val="20"/>
          <w:szCs w:val="20"/>
        </w:rPr>
        <w:t>yargıçlar</w:t>
      </w:r>
      <w:proofErr w:type="gramEnd"/>
      <w:r>
        <w:rPr>
          <w:sz w:val="20"/>
          <w:szCs w:val="20"/>
        </w:rPr>
        <w:t>, yargı görevleri dışında işlenen suçlardan dolayı olağan hukukta cezai sorumlu olmalıdır</w:t>
      </w:r>
      <w:r>
        <w:rPr>
          <w:color w:val="000000"/>
          <w:sz w:val="20"/>
          <w:szCs w:val="20"/>
        </w:rPr>
        <w:t>;</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p>
    <w:p w:rsidR="00380A26" w:rsidRDefault="0059142E">
      <w:pPr>
        <w:keepNext/>
        <w:keepLines/>
        <w:numPr>
          <w:ilvl w:val="1"/>
          <w:numId w:val="1"/>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rPr>
        <w:t>TÜRKİYE TARAFINDAN YAPILAN SÖZLEŞMENİN ASKIYA ALINMASI BİLDİRİMİ</w:t>
      </w:r>
    </w:p>
    <w:p w:rsidR="00380A26" w:rsidRDefault="0059142E">
      <w:pPr>
        <w:pBdr>
          <w:top w:val="nil"/>
          <w:left w:val="nil"/>
          <w:bottom w:val="nil"/>
          <w:right w:val="nil"/>
          <w:between w:val="nil"/>
        </w:pBdr>
        <w:ind w:firstLine="284"/>
        <w:jc w:val="both"/>
        <w:rPr>
          <w:color w:val="000000"/>
        </w:rPr>
      </w:pPr>
      <w:r>
        <w:rPr>
          <w:color w:val="000000"/>
        </w:rPr>
        <w:t>46.  </w:t>
      </w:r>
      <w:r>
        <w:t>21 Temmuz 2016 tarihinde, Tü</w:t>
      </w:r>
      <w:proofErr w:type="gramStart"/>
      <w:r>
        <w:t>rkiye'nin</w:t>
      </w:r>
      <w:proofErr w:type="gramEnd"/>
      <w:r>
        <w:t xml:space="preserve"> Avrupa Konseyi Daimi Temsilcisi, </w:t>
      </w:r>
      <w:r>
        <w:t xml:space="preserve">Avrupa Konseyi Genel Sekreteri'ne askıya alma (derogasyon) bildirimini iletmiştir </w:t>
      </w:r>
      <w:r>
        <w:rPr>
          <w:color w:val="000000"/>
        </w:rPr>
        <w:t>(</w:t>
      </w:r>
      <w:r>
        <w:t>bakınız</w:t>
      </w:r>
      <w:r>
        <w:rPr>
          <w:color w:val="000000"/>
        </w:rPr>
        <w:t xml:space="preserve">, </w:t>
      </w:r>
      <w:r>
        <w:t>askıya alma bildirimi metni için</w:t>
      </w:r>
      <w:r>
        <w:rPr>
          <w:color w:val="000000"/>
        </w:rPr>
        <w:t xml:space="preserve">, </w:t>
      </w:r>
      <w:r>
        <w:rPr>
          <w:i/>
          <w:color w:val="000000"/>
        </w:rPr>
        <w:t>Alparslan Altan</w:t>
      </w:r>
      <w:r>
        <w:rPr>
          <w:color w:val="000000"/>
        </w:rPr>
        <w:t xml:space="preserve">, </w:t>
      </w:r>
      <w:r>
        <w:t>yukarıda anılan</w:t>
      </w:r>
      <w:r>
        <w:rPr>
          <w:color w:val="000000"/>
        </w:rPr>
        <w:t xml:space="preserve">, § 66, </w:t>
      </w:r>
      <w:r>
        <w:t>veya</w:t>
      </w:r>
      <w:r>
        <w:rPr>
          <w:color w:val="000000"/>
        </w:rPr>
        <w:t xml:space="preserve"> </w:t>
      </w:r>
      <w:r>
        <w:rPr>
          <w:i/>
          <w:color w:val="000000"/>
        </w:rPr>
        <w:t>Baş</w:t>
      </w:r>
      <w:r>
        <w:rPr>
          <w:color w:val="000000"/>
        </w:rPr>
        <w:t xml:space="preserve">, </w:t>
      </w:r>
      <w:r>
        <w:t>yukarıda anılan</w:t>
      </w:r>
      <w:r>
        <w:rPr>
          <w:color w:val="000000"/>
        </w:rPr>
        <w:t>, § 109).</w:t>
      </w:r>
    </w:p>
    <w:p w:rsidR="00380A26" w:rsidRDefault="0059142E">
      <w:pPr>
        <w:pBdr>
          <w:top w:val="nil"/>
          <w:left w:val="nil"/>
          <w:bottom w:val="nil"/>
          <w:right w:val="nil"/>
          <w:between w:val="nil"/>
        </w:pBdr>
        <w:ind w:firstLine="284"/>
        <w:jc w:val="both"/>
      </w:pPr>
      <w:r>
        <w:rPr>
          <w:color w:val="000000"/>
        </w:rPr>
        <w:t>47.  </w:t>
      </w:r>
      <w:r>
        <w:t>Sözleşme’nin askıya alınması bildirimi, olağanüstü halin sona ermesinden sonra 8 Ağustos 2018'de geri çekilmiştir.</w:t>
      </w:r>
    </w:p>
    <w:p w:rsidR="00380A26" w:rsidRDefault="00380A26">
      <w:pPr>
        <w:pBdr>
          <w:top w:val="nil"/>
          <w:left w:val="nil"/>
          <w:bottom w:val="nil"/>
          <w:right w:val="nil"/>
          <w:between w:val="nil"/>
        </w:pBdr>
        <w:jc w:val="both"/>
      </w:pPr>
    </w:p>
    <w:p w:rsidR="00380A26" w:rsidRDefault="0059142E">
      <w:pPr>
        <w:keepNext/>
        <w:keepLines/>
        <w:pBdr>
          <w:top w:val="nil"/>
          <w:left w:val="nil"/>
          <w:bottom w:val="nil"/>
          <w:right w:val="nil"/>
          <w:between w:val="nil"/>
        </w:pBdr>
        <w:spacing w:before="100" w:after="240"/>
        <w:ind w:left="140"/>
        <w:jc w:val="both"/>
        <w:rPr>
          <w:smallCaps/>
          <w:color w:val="000000"/>
          <w:sz w:val="28"/>
          <w:szCs w:val="28"/>
        </w:rPr>
      </w:pPr>
      <w:bookmarkStart w:id="14" w:name="_heading=h.1pxezwc" w:colFirst="0" w:colLast="0"/>
      <w:bookmarkEnd w:id="14"/>
      <w:r>
        <w:rPr>
          <w:smallCaps/>
          <w:color w:val="000000"/>
          <w:sz w:val="28"/>
          <w:szCs w:val="28"/>
        </w:rPr>
        <w:t>H</w:t>
      </w:r>
      <w:r>
        <w:rPr>
          <w:smallCaps/>
          <w:sz w:val="28"/>
          <w:szCs w:val="28"/>
        </w:rPr>
        <w:t>UKUKİ DEĞERLENDİRME</w:t>
      </w:r>
    </w:p>
    <w:p w:rsidR="00380A26" w:rsidRDefault="0059142E">
      <w:pPr>
        <w:keepNext/>
        <w:keepLines/>
        <w:numPr>
          <w:ilvl w:val="1"/>
          <w:numId w:val="4"/>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rPr>
        <w:t>BAŞVURULARIN BİRLEŞTİRİLMESİ</w:t>
      </w:r>
    </w:p>
    <w:p w:rsidR="00380A26" w:rsidRDefault="0059142E">
      <w:pPr>
        <w:pBdr>
          <w:top w:val="nil"/>
          <w:left w:val="nil"/>
          <w:bottom w:val="nil"/>
          <w:right w:val="nil"/>
          <w:between w:val="nil"/>
        </w:pBdr>
        <w:ind w:firstLine="284"/>
        <w:jc w:val="both"/>
        <w:rPr>
          <w:color w:val="000000"/>
        </w:rPr>
      </w:pPr>
      <w:r>
        <w:rPr>
          <w:color w:val="000000"/>
        </w:rPr>
        <w:t xml:space="preserve">48. Başvuruların benzer konusunu dikkate </w:t>
      </w:r>
      <w:proofErr w:type="gramStart"/>
      <w:r>
        <w:rPr>
          <w:color w:val="000000"/>
        </w:rPr>
        <w:t>alan</w:t>
      </w:r>
      <w:proofErr w:type="gramEnd"/>
      <w:r>
        <w:rPr>
          <w:color w:val="000000"/>
        </w:rPr>
        <w:t xml:space="preserve"> Mahkeme, Mahkeme İç Tüzüğü'nün 42.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uyarınca, başvuruları tek bir kararda beraber incelemeyi uygun bulmaktadır.</w:t>
      </w:r>
    </w:p>
    <w:p w:rsidR="00380A26" w:rsidRDefault="0059142E">
      <w:pPr>
        <w:keepNext/>
        <w:keepLines/>
        <w:numPr>
          <w:ilvl w:val="1"/>
          <w:numId w:val="4"/>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rPr>
        <w:t>TÜRKİYE TARAFINDAN YAPILAN SÖZLEŞME’NİN ASKIYA ALINMASINA İLİŞKİN ÖNSORUN</w:t>
      </w:r>
    </w:p>
    <w:p w:rsidR="00380A26" w:rsidRDefault="0059142E">
      <w:pPr>
        <w:pBdr>
          <w:top w:val="nil"/>
          <w:left w:val="nil"/>
          <w:bottom w:val="nil"/>
          <w:right w:val="nil"/>
          <w:between w:val="nil"/>
        </w:pBdr>
        <w:ind w:firstLine="284"/>
        <w:jc w:val="both"/>
        <w:rPr>
          <w:color w:val="000000"/>
        </w:rPr>
      </w:pPr>
      <w:r>
        <w:rPr>
          <w:color w:val="000000"/>
        </w:rPr>
        <w:t>49.</w:t>
      </w:r>
      <w:r>
        <w:rPr>
          <w:color w:val="000000"/>
        </w:rPr>
        <w:t xml:space="preserve">  Hükümet, öncelikle, başvurucuların tüm şikayetlerinin, Avrupa Konseyi Genel Sekreteri'ne </w:t>
      </w:r>
      <w:proofErr w:type="gramStart"/>
      <w:r>
        <w:rPr>
          <w:color w:val="000000"/>
        </w:rPr>
        <w:t>Sözleşme'nin</w:t>
      </w:r>
      <w:proofErr w:type="gramEnd"/>
      <w:r>
        <w:rPr>
          <w:color w:val="000000"/>
        </w:rPr>
        <w:t xml:space="preserve"> 15. </w:t>
      </w:r>
      <w:proofErr w:type="gramStart"/>
      <w:r>
        <w:rPr>
          <w:color w:val="000000"/>
        </w:rPr>
        <w:t>maddesi</w:t>
      </w:r>
      <w:proofErr w:type="gramEnd"/>
      <w:r>
        <w:rPr>
          <w:color w:val="000000"/>
        </w:rPr>
        <w:t xml:space="preserve"> uyarınca 21 Temmuz 2016'da bildirilmiş olan derogasyonun dikkate alınarak incelenmesi gerektiğini vurgulamıştır. 15. </w:t>
      </w:r>
      <w:proofErr w:type="gramStart"/>
      <w:r>
        <w:rPr>
          <w:color w:val="000000"/>
        </w:rPr>
        <w:t>madde</w:t>
      </w:r>
      <w:proofErr w:type="gramEnd"/>
      <w:r>
        <w:rPr>
          <w:color w:val="000000"/>
        </w:rPr>
        <w:t xml:space="preserve"> şunları öngörmekt</w:t>
      </w:r>
      <w:r>
        <w:rPr>
          <w:color w:val="000000"/>
        </w:rPr>
        <w:t>edir:</w:t>
      </w:r>
    </w:p>
    <w:p w:rsidR="00380A26" w:rsidRDefault="0059142E">
      <w:pPr>
        <w:pBdr>
          <w:top w:val="nil"/>
          <w:left w:val="nil"/>
          <w:bottom w:val="nil"/>
          <w:right w:val="nil"/>
          <w:between w:val="nil"/>
        </w:pBdr>
        <w:spacing w:before="120" w:after="120"/>
        <w:ind w:left="425" w:firstLine="142"/>
        <w:jc w:val="both"/>
        <w:rPr>
          <w:color w:val="000000"/>
          <w:sz w:val="20"/>
          <w:szCs w:val="20"/>
        </w:rPr>
      </w:pPr>
      <w:proofErr w:type="gramStart"/>
      <w:r>
        <w:rPr>
          <w:color w:val="000000"/>
          <w:sz w:val="20"/>
          <w:szCs w:val="20"/>
        </w:rPr>
        <w:t>“1.  Savaş veya ulusun varlığını tehdit eden başka bir genel tehlike halinde her Yüksek Sözleşmeci Taraf, durumun kesinlikle gerektirdiği ölçüde ve uluslararası hukuktan doğan başka yükümlülüklere ters düşmemek koşuluyla, bu Sözle</w:t>
      </w:r>
      <w:r>
        <w:rPr>
          <w:color w:val="000000"/>
          <w:sz w:val="20"/>
          <w:szCs w:val="20"/>
        </w:rPr>
        <w:t>şme’de öngörülen yükümlülüklere aykırı tedbirler alabilir.</w:t>
      </w:r>
      <w:proofErr w:type="gramEnd"/>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 xml:space="preserve">2.  Yukarıdaki hüküm, meşru savaş fiilleri sonucunda meydana gelen ölüm hali dışında 2. </w:t>
      </w:r>
      <w:proofErr w:type="gramStart"/>
      <w:r>
        <w:rPr>
          <w:color w:val="000000"/>
          <w:sz w:val="20"/>
          <w:szCs w:val="20"/>
        </w:rPr>
        <w:t>maddeye</w:t>
      </w:r>
      <w:proofErr w:type="gramEnd"/>
      <w:r>
        <w:rPr>
          <w:color w:val="000000"/>
          <w:sz w:val="20"/>
          <w:szCs w:val="20"/>
        </w:rPr>
        <w:t xml:space="preserve">, 3. </w:t>
      </w:r>
      <w:proofErr w:type="gramStart"/>
      <w:r>
        <w:rPr>
          <w:color w:val="000000"/>
          <w:sz w:val="20"/>
          <w:szCs w:val="20"/>
        </w:rPr>
        <w:t>ve</w:t>
      </w:r>
      <w:proofErr w:type="gramEnd"/>
      <w:r>
        <w:rPr>
          <w:color w:val="000000"/>
          <w:sz w:val="20"/>
          <w:szCs w:val="20"/>
        </w:rPr>
        <w:t xml:space="preserve"> 4. </w:t>
      </w:r>
      <w:proofErr w:type="gramStart"/>
      <w:r>
        <w:rPr>
          <w:color w:val="000000"/>
          <w:sz w:val="20"/>
          <w:szCs w:val="20"/>
        </w:rPr>
        <w:t>maddeler</w:t>
      </w:r>
      <w:proofErr w:type="gramEnd"/>
      <w:r>
        <w:rPr>
          <w:color w:val="000000"/>
          <w:sz w:val="20"/>
          <w:szCs w:val="20"/>
        </w:rPr>
        <w:t xml:space="preserve"> (fıkra 1) ile 7. </w:t>
      </w:r>
      <w:proofErr w:type="gramStart"/>
      <w:r>
        <w:rPr>
          <w:color w:val="000000"/>
          <w:sz w:val="20"/>
          <w:szCs w:val="20"/>
        </w:rPr>
        <w:t>maddeye</w:t>
      </w:r>
      <w:proofErr w:type="gramEnd"/>
      <w:r>
        <w:rPr>
          <w:color w:val="000000"/>
          <w:sz w:val="20"/>
          <w:szCs w:val="20"/>
        </w:rPr>
        <w:t xml:space="preserve"> aykırı tedbirlere cevaz vermez.</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3.  Aykırı</w:t>
      </w:r>
      <w:r>
        <w:rPr>
          <w:color w:val="000000"/>
          <w:sz w:val="20"/>
          <w:szCs w:val="20"/>
        </w:rPr>
        <w:t xml:space="preserve"> tedbirler </w:t>
      </w:r>
      <w:proofErr w:type="gramStart"/>
      <w:r>
        <w:rPr>
          <w:color w:val="000000"/>
          <w:sz w:val="20"/>
          <w:szCs w:val="20"/>
        </w:rPr>
        <w:t>alma</w:t>
      </w:r>
      <w:proofErr w:type="gramEnd"/>
      <w:r>
        <w:rPr>
          <w:color w:val="000000"/>
          <w:sz w:val="20"/>
          <w:szCs w:val="20"/>
        </w:rPr>
        <w:t xml:space="preserve"> hakkını kullanan her Yüksek Sözleşmeci Taraf, alınan tedbirler ve bunları gerektiren nedenler hakkında Avrupa Konseyi Genel Sekreteri’ne tam bilgi verir. Bu Yüksek Sözleşmeci Taraf, sözü geçen tedbirlerin yürürlükten </w:t>
      </w:r>
      <w:r>
        <w:rPr>
          <w:color w:val="000000"/>
          <w:sz w:val="20"/>
          <w:szCs w:val="20"/>
        </w:rPr>
        <w:lastRenderedPageBreak/>
        <w:t>kalktığı v</w:t>
      </w:r>
      <w:r>
        <w:rPr>
          <w:color w:val="000000"/>
          <w:sz w:val="20"/>
          <w:szCs w:val="20"/>
        </w:rPr>
        <w:t>e Sözleşme hükümlerinin tekrar tamamen geçerli olduğu tarihi de Avrupa Konseyi Genel Sekreteri’ne bildirir.</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w:t>
      </w:r>
    </w:p>
    <w:p w:rsidR="00380A26" w:rsidRDefault="0059142E">
      <w:pPr>
        <w:pBdr>
          <w:top w:val="nil"/>
          <w:left w:val="nil"/>
          <w:bottom w:val="nil"/>
          <w:right w:val="nil"/>
          <w:between w:val="nil"/>
        </w:pBdr>
        <w:ind w:firstLine="284"/>
        <w:jc w:val="both"/>
        <w:rPr>
          <w:color w:val="000000"/>
        </w:rPr>
      </w:pPr>
      <w:bookmarkStart w:id="15" w:name="_heading=h.49x2ik5" w:colFirst="0" w:colLast="0"/>
      <w:bookmarkEnd w:id="15"/>
      <w:r>
        <w:rPr>
          <w:color w:val="000000"/>
        </w:rPr>
        <w:t xml:space="preserve">50.  Taraflar, </w:t>
      </w:r>
      <w:proofErr w:type="gramStart"/>
      <w:r>
        <w:rPr>
          <w:color w:val="000000"/>
        </w:rPr>
        <w:t>Sözleşme'nin</w:t>
      </w:r>
      <w:proofErr w:type="gramEnd"/>
      <w:r>
        <w:rPr>
          <w:color w:val="000000"/>
        </w:rPr>
        <w:t xml:space="preserve"> 15. </w:t>
      </w:r>
      <w:proofErr w:type="gramStart"/>
      <w:r>
        <w:rPr>
          <w:color w:val="000000"/>
        </w:rPr>
        <w:t>maddesi</w:t>
      </w:r>
      <w:proofErr w:type="gramEnd"/>
      <w:r>
        <w:rPr>
          <w:color w:val="000000"/>
        </w:rPr>
        <w:t xml:space="preserve"> kapsamında yapılan </w:t>
      </w:r>
      <w:r>
        <w:t>askıya alma bildirimine</w:t>
      </w:r>
      <w:r>
        <w:rPr>
          <w:color w:val="000000"/>
        </w:rPr>
        <w:t xml:space="preserve"> ilişkin olarak </w:t>
      </w:r>
      <w:r>
        <w:rPr>
          <w:i/>
          <w:color w:val="000000"/>
        </w:rPr>
        <w:t>Alparslan Altan v. Türkiye</w:t>
      </w:r>
      <w:r>
        <w:rPr>
          <w:color w:val="000000"/>
        </w:rPr>
        <w:t xml:space="preserve"> (yukarıda anılan, §§ 68-70) ve </w:t>
      </w:r>
      <w:r>
        <w:rPr>
          <w:i/>
          <w:color w:val="000000"/>
        </w:rPr>
        <w:t>Baş v. Türkiy</w:t>
      </w:r>
      <w:r>
        <w:rPr>
          <w:color w:val="000000"/>
        </w:rPr>
        <w:t>e (</w:t>
      </w:r>
      <w:r>
        <w:rPr>
          <w:i/>
          <w:color w:val="000000"/>
        </w:rPr>
        <w:t>Baş v. Türkiye</w:t>
      </w:r>
      <w:r>
        <w:rPr>
          <w:color w:val="000000"/>
        </w:rPr>
        <w:t>, yukarıda anılan  §§ 112-114) davalarında belirtilenler</w:t>
      </w:r>
      <w:r>
        <w:t xml:space="preserve">le </w:t>
      </w:r>
      <w:r>
        <w:rPr>
          <w:color w:val="000000"/>
        </w:rPr>
        <w:t>aynı doğrultuda beyanda bulunmuşlardır.</w:t>
      </w:r>
    </w:p>
    <w:p w:rsidR="00380A26" w:rsidRDefault="0059142E">
      <w:pPr>
        <w:pBdr>
          <w:top w:val="nil"/>
          <w:left w:val="nil"/>
          <w:bottom w:val="nil"/>
          <w:right w:val="nil"/>
          <w:between w:val="nil"/>
        </w:pBdr>
        <w:ind w:firstLine="284"/>
        <w:jc w:val="both"/>
        <w:rPr>
          <w:color w:val="000000"/>
        </w:rPr>
      </w:pPr>
      <w:bookmarkStart w:id="16" w:name="_heading=h.2p2csry" w:colFirst="0" w:colLast="0"/>
      <w:bookmarkEnd w:id="16"/>
      <w:r>
        <w:rPr>
          <w:color w:val="000000"/>
        </w:rPr>
        <w:t xml:space="preserve">51.  Mahkeme, </w:t>
      </w:r>
      <w:r>
        <w:rPr>
          <w:i/>
          <w:color w:val="000000"/>
        </w:rPr>
        <w:t>Mehmet Hasan Altan v. Türkiye</w:t>
      </w:r>
      <w:r>
        <w:rPr>
          <w:color w:val="000000"/>
        </w:rPr>
        <w:t xml:space="preserve"> davasında (no. 13237/17, § 93, 20 Mart 2018), Anayasa Mahkemesi'nin bu noktadaki bulguları ve elindeki diğer tüm materyaller ışığında, askeri darbe girişiminin, Sözleşme anlamında “ulusun yaşamını tehdit </w:t>
      </w:r>
      <w:proofErr w:type="gramStart"/>
      <w:r>
        <w:rPr>
          <w:color w:val="000000"/>
        </w:rPr>
        <w:t>eden</w:t>
      </w:r>
      <w:proofErr w:type="gramEnd"/>
      <w:r>
        <w:rPr>
          <w:color w:val="000000"/>
        </w:rPr>
        <w:t xml:space="preserve"> bir olağanüstü hal”in varlığını ortaya çıkardı</w:t>
      </w:r>
      <w:r>
        <w:rPr>
          <w:color w:val="000000"/>
        </w:rPr>
        <w:t xml:space="preserve">ğı kanaatine vardığına işaret etmektedir. Türkiye tarafından yapılan sınırlamanın - Mahkeme'nin re'sen </w:t>
      </w:r>
      <w:r>
        <w:t>dikkate alabileceği</w:t>
      </w:r>
      <w:r>
        <w:rPr>
          <w:color w:val="000000"/>
        </w:rPr>
        <w:t xml:space="preserve"> bir soru olan - </w:t>
      </w:r>
      <w:r>
        <w:rPr>
          <w:i/>
          <w:color w:val="000000"/>
        </w:rPr>
        <w:t>zaman bakımından</w:t>
      </w:r>
      <w:r>
        <w:rPr>
          <w:color w:val="000000"/>
        </w:rPr>
        <w:t xml:space="preserve"> ve </w:t>
      </w:r>
      <w:r>
        <w:rPr>
          <w:i/>
        </w:rPr>
        <w:t xml:space="preserve">konu </w:t>
      </w:r>
      <w:r>
        <w:rPr>
          <w:i/>
          <w:color w:val="000000"/>
        </w:rPr>
        <w:t>bakımından</w:t>
      </w:r>
      <w:r>
        <w:rPr>
          <w:color w:val="000000"/>
        </w:rPr>
        <w:t xml:space="preserve"> kapsamına ilişkin olarak Mahkeme, başvurucuların, olağanüstü hal ilanına yol açan</w:t>
      </w:r>
      <w:r>
        <w:rPr>
          <w:color w:val="000000"/>
        </w:rPr>
        <w:t xml:space="preserve"> darbe girişiminden kısa bir süre sonra gözaltına alındıklarını gözlemlemektedir. Bunun, mevcut davada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yorumlanması ve uygulanmasında tartışmasız bir şekilde tamamen dikkate alınması gereken </w:t>
      </w:r>
      <w:r>
        <w:t xml:space="preserve">bağlamsal </w:t>
      </w:r>
      <w:r>
        <w:rPr>
          <w:color w:val="000000"/>
        </w:rPr>
        <w:t>bir faktör olduğu kanaatinde</w:t>
      </w:r>
      <w:r>
        <w:rPr>
          <w:color w:val="000000"/>
        </w:rPr>
        <w:t xml:space="preserve">dir (bakınız, </w:t>
      </w:r>
      <w:r>
        <w:rPr>
          <w:i/>
          <w:color w:val="000000"/>
        </w:rPr>
        <w:t>kıyasen</w:t>
      </w:r>
      <w:r>
        <w:rPr>
          <w:color w:val="000000"/>
        </w:rPr>
        <w:t xml:space="preserve">, </w:t>
      </w:r>
      <w:r>
        <w:rPr>
          <w:i/>
          <w:color w:val="000000"/>
        </w:rPr>
        <w:t>Hassan v. Birleşik Krallık</w:t>
      </w:r>
      <w:r>
        <w:rPr>
          <w:color w:val="000000"/>
        </w:rPr>
        <w:t xml:space="preserve"> [BD], no. 29750/09, § 103, ECHR 2014 ve </w:t>
      </w:r>
      <w:r>
        <w:rPr>
          <w:i/>
          <w:color w:val="000000"/>
        </w:rPr>
        <w:t xml:space="preserve">Alparslan Altan, </w:t>
      </w:r>
      <w:r>
        <w:rPr>
          <w:color w:val="000000"/>
        </w:rPr>
        <w:t>yukarıda anılan, § 75).</w:t>
      </w:r>
    </w:p>
    <w:p w:rsidR="00380A26" w:rsidRDefault="0059142E">
      <w:pPr>
        <w:pBdr>
          <w:top w:val="nil"/>
          <w:left w:val="nil"/>
          <w:bottom w:val="nil"/>
          <w:right w:val="nil"/>
          <w:between w:val="nil"/>
        </w:pBdr>
        <w:ind w:firstLine="284"/>
        <w:jc w:val="both"/>
      </w:pPr>
      <w:bookmarkStart w:id="17" w:name="_heading=h.147n2zr" w:colFirst="0" w:colLast="0"/>
      <w:bookmarkEnd w:id="17"/>
      <w:r>
        <w:rPr>
          <w:color w:val="000000"/>
        </w:rPr>
        <w:t>52. Mevcut davada alınan tedbirlerin, durumun gereklilikleri tarafından kesin surette zorunlu olup olmadığı ve uluslararası h</w:t>
      </w:r>
      <w:r>
        <w:rPr>
          <w:color w:val="000000"/>
        </w:rPr>
        <w:t xml:space="preserve">ukuk kapsamındaki diğer yükümlülüklerle uyumlu olup olmadığı konusunda Mahkeme, başvurucuların esasa ilişkin şikayetlerini incelemenin gerekli olduğunu düşünmektedir (bakınız </w:t>
      </w:r>
      <w:r>
        <w:rPr>
          <w:i/>
          <w:color w:val="000000"/>
        </w:rPr>
        <w:t>Baş</w:t>
      </w:r>
      <w:r>
        <w:rPr>
          <w:color w:val="000000"/>
        </w:rPr>
        <w:t>, yukarıda anılan, § 116).</w:t>
      </w:r>
    </w:p>
    <w:p w:rsidR="00380A26" w:rsidRDefault="0059142E">
      <w:pPr>
        <w:keepNext/>
        <w:keepLines/>
        <w:numPr>
          <w:ilvl w:val="1"/>
          <w:numId w:val="4"/>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color w:val="000000"/>
        </w:rPr>
        <w:t>BAŞVURUCULARIN</w:t>
      </w:r>
      <w:r>
        <w:rPr>
          <w:smallCaps/>
        </w:rPr>
        <w:t xml:space="preserve"> </w:t>
      </w:r>
      <w:r>
        <w:rPr>
          <w:smallCaps/>
          <w:color w:val="000000"/>
        </w:rPr>
        <w:t>TUTUKLULUK</w:t>
      </w:r>
      <w:r>
        <w:rPr>
          <w:smallCaps/>
        </w:rPr>
        <w:t>LARININ HUKUKA UYGUNLUĞU B</w:t>
      </w:r>
      <w:r>
        <w:rPr>
          <w:smallCaps/>
        </w:rPr>
        <w:t>AKIMINDAN SÖZLEŞME’NİN 5. MADDESİNİN 1. FIKRASININ İHLAL EDİLDİĞİ İDDİASI</w:t>
      </w:r>
    </w:p>
    <w:p w:rsidR="00380A26" w:rsidRDefault="0059142E">
      <w:pPr>
        <w:pBdr>
          <w:top w:val="nil"/>
          <w:left w:val="nil"/>
          <w:bottom w:val="nil"/>
          <w:right w:val="nil"/>
          <w:between w:val="nil"/>
        </w:pBdr>
        <w:ind w:firstLine="284"/>
        <w:jc w:val="both"/>
        <w:rPr>
          <w:color w:val="000000"/>
        </w:rPr>
      </w:pPr>
      <w:r>
        <w:rPr>
          <w:color w:val="000000"/>
        </w:rPr>
        <w:t>53. Başvurucular, esas olarak, yargı mensuplarının gözaltına alınması ve tutuklanmasını düzenleyen iç hukukun ihlal edilerek tutuklandıkları konusunda şikayette bulunmuşlardır ve 280</w:t>
      </w:r>
      <w:r>
        <w:rPr>
          <w:color w:val="000000"/>
        </w:rPr>
        <w:t xml:space="preserve">2 sayılı Kanun'un 94. </w:t>
      </w:r>
      <w:proofErr w:type="gramStart"/>
      <w:r>
        <w:rPr>
          <w:color w:val="000000"/>
        </w:rPr>
        <w:t>maddesi</w:t>
      </w:r>
      <w:proofErr w:type="gramEnd"/>
      <w:r>
        <w:rPr>
          <w:color w:val="000000"/>
        </w:rPr>
        <w:t xml:space="preserve"> ve 2797 sayılı Kanun'un 46. </w:t>
      </w:r>
      <w:proofErr w:type="gramStart"/>
      <w:r>
        <w:rPr>
          <w:color w:val="000000"/>
        </w:rPr>
        <w:t>maddesi</w:t>
      </w:r>
      <w:proofErr w:type="gramEnd"/>
      <w:r>
        <w:rPr>
          <w:color w:val="000000"/>
        </w:rPr>
        <w:t xml:space="preserve"> uyarınca</w:t>
      </w:r>
      <w:r>
        <w:rPr>
          <w:i/>
          <w:color w:val="000000"/>
        </w:rPr>
        <w:t xml:space="preserve"> suçüstü hâlinin</w:t>
      </w:r>
      <w:r>
        <w:rPr>
          <w:color w:val="000000"/>
        </w:rPr>
        <w:t xml:space="preserve"> mev</w:t>
      </w:r>
      <w:r>
        <w:t>cudiyetine</w:t>
      </w:r>
      <w:r>
        <w:rPr>
          <w:color w:val="000000"/>
        </w:rPr>
        <w:t xml:space="preserve"> </w:t>
      </w:r>
      <w:r>
        <w:t xml:space="preserve">ilişkin </w:t>
      </w:r>
      <w:r>
        <w:rPr>
          <w:color w:val="000000"/>
        </w:rPr>
        <w:t xml:space="preserve">itirazda </w:t>
      </w:r>
      <w:r>
        <w:t>bulunmuşlardır</w:t>
      </w:r>
      <w:r>
        <w:rPr>
          <w:color w:val="000000"/>
        </w:rPr>
        <w:t>. Ayrıca, sulh ceza hakimliklerinin tutuklanmaları hakkında karar vermek için yetkisiz ve görevsiz olduklarını ileri sür</w:t>
      </w:r>
      <w:r>
        <w:rPr>
          <w:color w:val="000000"/>
        </w:rPr>
        <w:t>müşlerdir.</w:t>
      </w:r>
    </w:p>
    <w:p w:rsidR="00380A26" w:rsidRDefault="0059142E">
      <w:pPr>
        <w:pBdr>
          <w:top w:val="nil"/>
          <w:left w:val="nil"/>
          <w:bottom w:val="nil"/>
          <w:right w:val="nil"/>
          <w:between w:val="nil"/>
        </w:pBdr>
        <w:ind w:firstLine="284"/>
        <w:jc w:val="both"/>
        <w:rPr>
          <w:color w:val="000000"/>
        </w:rPr>
      </w:pPr>
      <w:r>
        <w:rPr>
          <w:color w:val="000000"/>
        </w:rPr>
        <w:t xml:space="preserve">54.  Mahkeme, bu şikayetleri ilgili kısmı </w:t>
      </w:r>
      <w:r>
        <w:t xml:space="preserve">devam </w:t>
      </w:r>
      <w:proofErr w:type="gramStart"/>
      <w:r>
        <w:t>eden</w:t>
      </w:r>
      <w:proofErr w:type="gramEnd"/>
      <w:r>
        <w:t xml:space="preserve"> şekilde düzenlenen</w:t>
      </w:r>
      <w:r>
        <w:rPr>
          <w:color w:val="000000"/>
        </w:rPr>
        <w:t xml:space="preserve"> Sözleşme'nin 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kapsamında incelemenin uygun olduğu kanaatindedir:</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“1.</w:t>
      </w:r>
      <w:proofErr w:type="gramStart"/>
      <w:r>
        <w:rPr>
          <w:color w:val="000000"/>
          <w:sz w:val="20"/>
          <w:szCs w:val="20"/>
        </w:rPr>
        <w:t>  Herkes</w:t>
      </w:r>
      <w:proofErr w:type="gramEnd"/>
      <w:r>
        <w:rPr>
          <w:color w:val="000000"/>
          <w:sz w:val="20"/>
          <w:szCs w:val="20"/>
        </w:rPr>
        <w:t xml:space="preserve"> özgürlük ve güvenlik hakkına sahiptir. Aşağıda belirtilen haller d</w:t>
      </w:r>
      <w:r>
        <w:rPr>
          <w:color w:val="000000"/>
          <w:sz w:val="20"/>
          <w:szCs w:val="20"/>
        </w:rPr>
        <w:t>ışında ve yasanın öngördüğü usule uygun olmadan hiç kimse özgürlüğünden yoksun bırakılamaz: ...”</w:t>
      </w:r>
    </w:p>
    <w:p w:rsidR="00380A26" w:rsidRDefault="0059142E">
      <w:pPr>
        <w:keepNext/>
        <w:keepLines/>
        <w:numPr>
          <w:ilvl w:val="2"/>
          <w:numId w:val="4"/>
        </w:numPr>
        <w:pBdr>
          <w:top w:val="nil"/>
          <w:left w:val="nil"/>
          <w:bottom w:val="nil"/>
          <w:right w:val="nil"/>
          <w:between w:val="nil"/>
        </w:pBdr>
        <w:spacing w:before="100" w:after="240"/>
        <w:jc w:val="both"/>
      </w:pPr>
      <w:r>
        <w:rPr>
          <w:b/>
          <w:color w:val="000000"/>
        </w:rPr>
        <w:lastRenderedPageBreak/>
        <w:t xml:space="preserve">Kabul edilebilirlik </w:t>
      </w:r>
    </w:p>
    <w:p w:rsidR="00380A26" w:rsidRDefault="0059142E">
      <w:pPr>
        <w:keepNext/>
        <w:keepLines/>
        <w:numPr>
          <w:ilvl w:val="3"/>
          <w:numId w:val="4"/>
        </w:numPr>
        <w:pBdr>
          <w:top w:val="nil"/>
          <w:left w:val="nil"/>
          <w:bottom w:val="nil"/>
          <w:right w:val="nil"/>
          <w:between w:val="nil"/>
        </w:pBdr>
        <w:spacing w:before="100" w:after="120"/>
        <w:jc w:val="both"/>
      </w:pPr>
      <w:r>
        <w:rPr>
          <w:i/>
          <w:color w:val="000000"/>
        </w:rPr>
        <w:t>Tarafların beyanları</w:t>
      </w:r>
    </w:p>
    <w:p w:rsidR="00380A26" w:rsidRDefault="0059142E">
      <w:pPr>
        <w:pBdr>
          <w:top w:val="nil"/>
          <w:left w:val="nil"/>
          <w:bottom w:val="nil"/>
          <w:right w:val="nil"/>
          <w:between w:val="nil"/>
        </w:pBdr>
        <w:ind w:firstLine="284"/>
        <w:jc w:val="both"/>
        <w:rPr>
          <w:color w:val="000000"/>
        </w:rPr>
      </w:pPr>
      <w:r>
        <w:rPr>
          <w:color w:val="000000"/>
        </w:rPr>
        <w:t xml:space="preserve">55. Hükümet, hukuka aykırı olarak özgürlüğünden yoksun bırakılan </w:t>
      </w:r>
      <w:r>
        <w:t xml:space="preserve">kişilere </w:t>
      </w:r>
      <w:r>
        <w:rPr>
          <w:color w:val="000000"/>
        </w:rPr>
        <w:t xml:space="preserve">tazminat ödenmesini öngören </w:t>
      </w:r>
      <w:proofErr w:type="gramStart"/>
      <w:r>
        <w:rPr>
          <w:color w:val="000000"/>
        </w:rPr>
        <w:t>CMK'nın</w:t>
      </w:r>
      <w:proofErr w:type="gramEnd"/>
      <w:r>
        <w:rPr>
          <w:color w:val="000000"/>
        </w:rPr>
        <w:t xml:space="preserve"> 141. </w:t>
      </w:r>
      <w:proofErr w:type="gramStart"/>
      <w:r>
        <w:rPr>
          <w:color w:val="000000"/>
        </w:rPr>
        <w:t>maddesinin</w:t>
      </w:r>
      <w:proofErr w:type="gramEnd"/>
      <w:r>
        <w:rPr>
          <w:color w:val="000000"/>
        </w:rPr>
        <w:t xml:space="preserve"> 1. </w:t>
      </w:r>
      <w:proofErr w:type="gramStart"/>
      <w:r>
        <w:rPr>
          <w:color w:val="000000"/>
        </w:rPr>
        <w:t>fıkrasın</w:t>
      </w:r>
      <w:r>
        <w:t>ın</w:t>
      </w:r>
      <w:proofErr w:type="gramEnd"/>
      <w:r>
        <w:t xml:space="preserve"> a</w:t>
      </w:r>
      <w:r>
        <w:rPr>
          <w:color w:val="000000"/>
        </w:rPr>
        <w:t xml:space="preserve"> bendi uyarınca ilgili tazminat yolunu kullanmayan başvurucular ve bu madde kapsamındaki talepleri halen yerel mahkemeler önünde derdest olan başvurucular açısından, iç hukuk yollarının tük</w:t>
      </w:r>
      <w:r>
        <w:rPr>
          <w:color w:val="000000"/>
        </w:rPr>
        <w:t>etilmemesi nedeniyle Mahkeme'den bu şikayetin kabul edilemez olduğuna karar vermesini talep etmiştir. Hükümet ayrıca başvuruculardan biri</w:t>
      </w:r>
      <w:r>
        <w:t>sinin</w:t>
      </w:r>
      <w:r>
        <w:rPr>
          <w:color w:val="000000"/>
        </w:rPr>
        <w:t xml:space="preserve"> (başvuru no. 55057/17) beraat etmesinin ardından </w:t>
      </w:r>
      <w:proofErr w:type="gramStart"/>
      <w:r>
        <w:rPr>
          <w:color w:val="000000"/>
        </w:rPr>
        <w:t>CMK'nın</w:t>
      </w:r>
      <w:proofErr w:type="gramEnd"/>
      <w:r>
        <w:rPr>
          <w:color w:val="000000"/>
        </w:rPr>
        <w:t xml:space="preserve"> 141. </w:t>
      </w:r>
      <w:proofErr w:type="gramStart"/>
      <w:r>
        <w:rPr>
          <w:color w:val="000000"/>
        </w:rPr>
        <w:t>maddesinin</w:t>
      </w:r>
      <w:proofErr w:type="gramEnd"/>
      <w:r>
        <w:rPr>
          <w:color w:val="000000"/>
        </w:rPr>
        <w:t xml:space="preserve"> 1. </w:t>
      </w:r>
      <w:proofErr w:type="gramStart"/>
      <w:r>
        <w:rPr>
          <w:color w:val="000000"/>
        </w:rPr>
        <w:t>fıkrasının</w:t>
      </w:r>
      <w:proofErr w:type="gramEnd"/>
      <w:r>
        <w:rPr>
          <w:color w:val="000000"/>
        </w:rPr>
        <w:t xml:space="preserve"> e bendi uyarınca tazminat </w:t>
      </w:r>
      <w:r>
        <w:rPr>
          <w:color w:val="000000"/>
        </w:rPr>
        <w:t xml:space="preserve">aldığını ve bu nedenle mağdur statüsünü kaybettiğini iddia etmiştir. Hükümet'in görüşüne göre, tazminat talepleri yetkili mahkemeler önünde derdest olan diğer başvurucular da benzer şekilde tazminat alabilecek ve Mahkeme'nin şikayetlerinin </w:t>
      </w:r>
      <w:proofErr w:type="gramStart"/>
      <w:r>
        <w:rPr>
          <w:color w:val="000000"/>
        </w:rPr>
        <w:t>kabul</w:t>
      </w:r>
      <w:proofErr w:type="gramEnd"/>
      <w:r>
        <w:rPr>
          <w:color w:val="000000"/>
        </w:rPr>
        <w:t xml:space="preserve"> edilebilir</w:t>
      </w:r>
      <w:r>
        <w:rPr>
          <w:color w:val="000000"/>
        </w:rPr>
        <w:t xml:space="preserve">liğini incelerken dikkate alması gereken mağdur </w:t>
      </w:r>
      <w:r>
        <w:t>sıfatlarını</w:t>
      </w:r>
      <w:r>
        <w:rPr>
          <w:color w:val="000000"/>
        </w:rPr>
        <w:t>kaybedebileceklerdir. Hükümet, son olarak Mahkeme'den, başvurucuların başvurularını yaptıktan sonra davalarındaki gelişmeler hakkında Mahkeme'yi bilgilendirmedikleri ölçüde, başvuru hakkının kötüye</w:t>
      </w:r>
      <w:r>
        <w:rPr>
          <w:color w:val="000000"/>
        </w:rPr>
        <w:t xml:space="preserve"> kullanılması nedeniyle başvuruların </w:t>
      </w:r>
      <w:proofErr w:type="gramStart"/>
      <w:r>
        <w:rPr>
          <w:color w:val="000000"/>
        </w:rPr>
        <w:t>kabul</w:t>
      </w:r>
      <w:proofErr w:type="gramEnd"/>
      <w:r>
        <w:rPr>
          <w:color w:val="000000"/>
        </w:rPr>
        <w:t xml:space="preserve"> edilemez olduğuna karar vermesini istemiştir.</w:t>
      </w:r>
    </w:p>
    <w:p w:rsidR="00380A26" w:rsidRDefault="0059142E">
      <w:pPr>
        <w:pBdr>
          <w:top w:val="nil"/>
          <w:left w:val="nil"/>
          <w:bottom w:val="nil"/>
          <w:right w:val="nil"/>
          <w:between w:val="nil"/>
        </w:pBdr>
        <w:ind w:firstLine="284"/>
        <w:jc w:val="both"/>
      </w:pPr>
      <w:r>
        <w:rPr>
          <w:color w:val="000000"/>
        </w:rPr>
        <w:t xml:space="preserve">56. Başvurucular, Hükümet’in bu argümanlarına itiraz etmişlerdir. </w:t>
      </w:r>
    </w:p>
    <w:p w:rsidR="00380A26" w:rsidRDefault="0059142E">
      <w:pPr>
        <w:keepNext/>
        <w:keepLines/>
        <w:numPr>
          <w:ilvl w:val="3"/>
          <w:numId w:val="4"/>
        </w:numPr>
        <w:pBdr>
          <w:top w:val="nil"/>
          <w:left w:val="nil"/>
          <w:bottom w:val="nil"/>
          <w:right w:val="nil"/>
          <w:between w:val="nil"/>
        </w:pBdr>
        <w:spacing w:before="100" w:after="120"/>
        <w:jc w:val="both"/>
      </w:pPr>
      <w:r>
        <w:rPr>
          <w:i/>
          <w:color w:val="000000"/>
        </w:rPr>
        <w:t>Mahkeme’nin değerlendirmesi</w:t>
      </w:r>
    </w:p>
    <w:p w:rsidR="00380A26" w:rsidRDefault="0059142E">
      <w:pPr>
        <w:keepNext/>
        <w:keepLines/>
        <w:numPr>
          <w:ilvl w:val="4"/>
          <w:numId w:val="4"/>
        </w:numPr>
        <w:pBdr>
          <w:top w:val="nil"/>
          <w:left w:val="nil"/>
          <w:bottom w:val="nil"/>
          <w:right w:val="nil"/>
          <w:between w:val="nil"/>
        </w:pBdr>
        <w:spacing w:before="100" w:after="120"/>
        <w:jc w:val="both"/>
      </w:pPr>
      <w:r>
        <w:rPr>
          <w:b/>
          <w:color w:val="000000"/>
          <w:sz w:val="20"/>
          <w:szCs w:val="20"/>
        </w:rPr>
        <w:t>İç hukuk yollarının tüketilmemesi</w:t>
      </w:r>
    </w:p>
    <w:p w:rsidR="00380A26" w:rsidRDefault="0059142E">
      <w:pPr>
        <w:pBdr>
          <w:top w:val="nil"/>
          <w:left w:val="nil"/>
          <w:bottom w:val="nil"/>
          <w:right w:val="nil"/>
          <w:between w:val="nil"/>
        </w:pBdr>
        <w:ind w:firstLine="284"/>
        <w:jc w:val="both"/>
        <w:rPr>
          <w:color w:val="000000"/>
        </w:rPr>
      </w:pPr>
      <w:bookmarkStart w:id="18" w:name="_heading=h.3o7alnk" w:colFirst="0" w:colLast="0"/>
      <w:bookmarkEnd w:id="18"/>
      <w:r>
        <w:rPr>
          <w:color w:val="000000"/>
        </w:rPr>
        <w:t xml:space="preserve">57. Mahkeme, </w:t>
      </w:r>
      <w:proofErr w:type="gramStart"/>
      <w:r>
        <w:rPr>
          <w:color w:val="000000"/>
        </w:rPr>
        <w:t>Sözleşme’nin</w:t>
      </w:r>
      <w:proofErr w:type="gramEnd"/>
      <w:r>
        <w:rPr>
          <w:color w:val="000000"/>
        </w:rPr>
        <w:t xml:space="preserve"> 35.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kapsamında iç hukuk yollarının tüketilmesi kuralına ilişkin içtihadında geliştirilen genel ilkelere atıfta bulunarak (bakınız, örneğin, </w:t>
      </w:r>
      <w:r>
        <w:rPr>
          <w:i/>
          <w:color w:val="000000"/>
        </w:rPr>
        <w:t>Sargsyan v. Azerbaycan</w:t>
      </w:r>
      <w:r>
        <w:rPr>
          <w:color w:val="000000"/>
        </w:rPr>
        <w:t xml:space="preserve"> [BD], no. 40167/06, §§ 115-116, ECHR 2015) ön</w:t>
      </w:r>
      <w:r>
        <w:rPr>
          <w:color w:val="000000"/>
        </w:rPr>
        <w:t xml:space="preserve">celikle, süregiden bir özgürlükten yoksun bırakmanın hukuka uygunluğuna ilişkin bir kanun yolunun etkili olabilmesi için, bir tahliye olasılığı sunması gerektiğini yinelemektedir (bakınız </w:t>
      </w:r>
      <w:r>
        <w:rPr>
          <w:i/>
          <w:color w:val="000000"/>
        </w:rPr>
        <w:t>Mustafa Avcı v. Türkiye</w:t>
      </w:r>
      <w:r>
        <w:rPr>
          <w:color w:val="000000"/>
        </w:rPr>
        <w:t>, no. 39322/12, § 60, 23 Mayıs 2017). Bu bağl</w:t>
      </w:r>
      <w:r>
        <w:rPr>
          <w:color w:val="000000"/>
        </w:rPr>
        <w:t xml:space="preserve">amda, </w:t>
      </w:r>
      <w:proofErr w:type="gramStart"/>
      <w:r>
        <w:rPr>
          <w:color w:val="000000"/>
        </w:rPr>
        <w:t>CMK'nın</w:t>
      </w:r>
      <w:proofErr w:type="gramEnd"/>
      <w:r>
        <w:rPr>
          <w:color w:val="000000"/>
        </w:rPr>
        <w:t xml:space="preserve"> 141. </w:t>
      </w:r>
      <w:proofErr w:type="gramStart"/>
      <w:r>
        <w:rPr>
          <w:color w:val="000000"/>
        </w:rPr>
        <w:t>maddesinde</w:t>
      </w:r>
      <w:proofErr w:type="gramEnd"/>
      <w:r>
        <w:rPr>
          <w:color w:val="000000"/>
        </w:rPr>
        <w:t xml:space="preserve"> öngörülen hukuk yolunun özgürlükten yoksun bırakmayı sona erdirmeye yeterli olmadığını önceden tespit ettiğini kaydetmektedir (bakınız, örneğin, </w:t>
      </w:r>
      <w:r>
        <w:rPr>
          <w:i/>
          <w:color w:val="000000"/>
        </w:rPr>
        <w:t>Alparslan Altan</w:t>
      </w:r>
      <w:r>
        <w:rPr>
          <w:color w:val="000000"/>
        </w:rPr>
        <w:t xml:space="preserve">, yukarıda anılan § 84). Bu nedenle, Hükümet'in ön itirazını,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w:t>
      </w:r>
      <w:proofErr w:type="gramStart"/>
      <w:r>
        <w:rPr>
          <w:color w:val="000000"/>
        </w:rPr>
        <w:t>fıkrasının</w:t>
      </w:r>
      <w:proofErr w:type="gramEnd"/>
      <w:r>
        <w:rPr>
          <w:color w:val="000000"/>
        </w:rPr>
        <w:t xml:space="preserve"> amaçları bakımından hala özgürlüklerinden mahrum olan başvurucularla ilgili olduğu ölçüde reddetmektedir.</w:t>
      </w:r>
    </w:p>
    <w:p w:rsidR="00380A26" w:rsidRDefault="0059142E">
      <w:pPr>
        <w:pBdr>
          <w:top w:val="nil"/>
          <w:left w:val="nil"/>
          <w:bottom w:val="nil"/>
          <w:right w:val="nil"/>
          <w:between w:val="nil"/>
        </w:pBdr>
        <w:ind w:firstLine="284"/>
        <w:jc w:val="both"/>
        <w:rPr>
          <w:color w:val="000000"/>
        </w:rPr>
      </w:pPr>
      <w:bookmarkStart w:id="19" w:name="_heading=h.23ckvvd" w:colFirst="0" w:colLast="0"/>
      <w:bookmarkEnd w:id="19"/>
      <w:proofErr w:type="gramStart"/>
      <w:r>
        <w:rPr>
          <w:color w:val="000000"/>
        </w:rPr>
        <w:t xml:space="preserve">58. İkinci olarak, artık tutuklu olmayan diğer </w:t>
      </w:r>
      <w:r>
        <w:rPr>
          <w:color w:val="000000"/>
        </w:rPr>
        <w:t xml:space="preserve">başvurucularla ilgili olarak Mahkeme, artık tutuklu olmayan bir başvurucunun iç hukuka aykırı olarak tutuklandığından şikayet etmesi halinde, iddia edilen ihlalin kabulüne ve tazminat ödenmesine imkan sağlayacak bir tazminat talebi, </w:t>
      </w:r>
      <w:r>
        <w:t>uygulamada etkinliği ik</w:t>
      </w:r>
      <w:r>
        <w:t xml:space="preserve">na edici bir şekilde tespit edildiği takdirde, </w:t>
      </w:r>
      <w:r>
        <w:rPr>
          <w:color w:val="000000"/>
        </w:rPr>
        <w:t xml:space="preserve">prensip olarak takip edilmesi gereken </w:t>
      </w:r>
      <w:r>
        <w:t>etkili hukuk yollarındandır</w:t>
      </w:r>
      <w:r>
        <w:rPr>
          <w:color w:val="000000"/>
        </w:rPr>
        <w:t xml:space="preserve"> (bakınız </w:t>
      </w:r>
      <w:r>
        <w:rPr>
          <w:i/>
          <w:color w:val="000000"/>
        </w:rPr>
        <w:t>Selahattin Demirtaş v. Türkiye (no. 2)</w:t>
      </w:r>
      <w:r>
        <w:rPr>
          <w:color w:val="000000"/>
        </w:rPr>
        <w:t xml:space="preserve"> [BD], no. 14305/17, § 208, 22 Aralık 2020).</w:t>
      </w:r>
      <w:proofErr w:type="gramEnd"/>
    </w:p>
    <w:p w:rsidR="00380A26" w:rsidRDefault="0059142E">
      <w:pPr>
        <w:pBdr>
          <w:top w:val="nil"/>
          <w:left w:val="nil"/>
          <w:bottom w:val="nil"/>
          <w:right w:val="nil"/>
          <w:between w:val="nil"/>
        </w:pBdr>
        <w:ind w:firstLine="284"/>
        <w:jc w:val="both"/>
        <w:rPr>
          <w:color w:val="000000"/>
        </w:rPr>
      </w:pPr>
      <w:r>
        <w:rPr>
          <w:color w:val="000000"/>
        </w:rPr>
        <w:lastRenderedPageBreak/>
        <w:t>59. Hükümet, başvurucuların Anayasa Mahkemesi de da</w:t>
      </w:r>
      <w:r>
        <w:rPr>
          <w:color w:val="000000"/>
        </w:rPr>
        <w:t>hil olmak üzere çeşitli yerel mahkemeler önünde tutukluluklarının hukuk</w:t>
      </w:r>
      <w:r>
        <w:t>iliğine yönelik itirazda bulundukları</w:t>
      </w:r>
      <w:r>
        <w:rPr>
          <w:color w:val="000000"/>
        </w:rPr>
        <w:t xml:space="preserve"> ve bu davaların hiçbirinde tutukluluklarının hukuka aykırı olduğunun </w:t>
      </w:r>
      <w:proofErr w:type="gramStart"/>
      <w:r>
        <w:rPr>
          <w:color w:val="000000"/>
        </w:rPr>
        <w:t>kabul</w:t>
      </w:r>
      <w:proofErr w:type="gramEnd"/>
      <w:r>
        <w:rPr>
          <w:color w:val="000000"/>
        </w:rPr>
        <w:t xml:space="preserve"> edilmediği gerçeğine itiraz etmemektedir (bakınız yukarıda 27. paragraf)</w:t>
      </w:r>
      <w:r>
        <w:rPr>
          <w:color w:val="000000"/>
        </w:rPr>
        <w:t xml:space="preserve">. Ayrıca, yerel mahkemelerin mevcut bağlamda suçüstü kavramının yorumlanmasına ilişkin Hükümet tarafından sağlanan içtihat örnekleri, başvurucuların, hakim ve savcıların tutukluluk hallerine ilişkin yürürlükteki kanunlarda öngörülen özel usulün aksi yönde </w:t>
      </w:r>
      <w:r>
        <w:rPr>
          <w:color w:val="000000"/>
        </w:rPr>
        <w:t>olan, olağan hukuk hükümlerine göre tutuklanmaları</w:t>
      </w:r>
      <w:r>
        <w:t xml:space="preserve"> hususunun</w:t>
      </w:r>
      <w:r>
        <w:rPr>
          <w:color w:val="000000"/>
        </w:rPr>
        <w:t xml:space="preserve"> ülkenin en yüksek mahkemeleri tarafından ilgili iç hukukla uyumlu olarak değerlendirildiğini (bakınız aşağıda 32-43. paragraflarda belirtilen içtihat) açık bir şekilde göstermektedir.</w:t>
      </w:r>
    </w:p>
    <w:p w:rsidR="00380A26" w:rsidRDefault="0059142E">
      <w:pPr>
        <w:pBdr>
          <w:top w:val="nil"/>
          <w:left w:val="nil"/>
          <w:bottom w:val="nil"/>
          <w:right w:val="nil"/>
          <w:between w:val="nil"/>
        </w:pBdr>
        <w:ind w:firstLine="284"/>
        <w:jc w:val="both"/>
        <w:rPr>
          <w:color w:val="000000"/>
        </w:rPr>
      </w:pPr>
      <w:bookmarkStart w:id="20" w:name="_heading=h.32hioqz" w:colFirst="0" w:colLast="0"/>
      <w:bookmarkEnd w:id="20"/>
      <w:r>
        <w:rPr>
          <w:color w:val="000000"/>
        </w:rPr>
        <w:t>60. Mahkeme</w:t>
      </w:r>
      <w:r>
        <w:rPr>
          <w:color w:val="000000"/>
        </w:rPr>
        <w:t xml:space="preserve">, yukarıda belirtilenler ışığında, </w:t>
      </w:r>
      <w:proofErr w:type="gramStart"/>
      <w:r>
        <w:rPr>
          <w:color w:val="000000"/>
        </w:rPr>
        <w:t>CMK'nın</w:t>
      </w:r>
      <w:proofErr w:type="gramEnd"/>
      <w:r>
        <w:rPr>
          <w:color w:val="000000"/>
        </w:rPr>
        <w:t xml:space="preserve"> 141. </w:t>
      </w:r>
      <w:proofErr w:type="gramStart"/>
      <w:r>
        <w:rPr>
          <w:color w:val="000000"/>
        </w:rPr>
        <w:t>maddesinin</w:t>
      </w:r>
      <w:proofErr w:type="gramEnd"/>
      <w:r>
        <w:rPr>
          <w:color w:val="000000"/>
        </w:rPr>
        <w:t xml:space="preserve"> 1. </w:t>
      </w:r>
      <w:proofErr w:type="gramStart"/>
      <w:r>
        <w:rPr>
          <w:color w:val="000000"/>
        </w:rPr>
        <w:t>fıkrasının</w:t>
      </w:r>
      <w:proofErr w:type="gramEnd"/>
      <w:r>
        <w:rPr>
          <w:color w:val="000000"/>
        </w:rPr>
        <w:t xml:space="preserve"> a bendi kapsamında yapılacak bir tazminat talebinin, başvurucuların tutuklanmalarının hukuka aykırılığına ilişkin 5. </w:t>
      </w:r>
      <w:proofErr w:type="gramStart"/>
      <w:r>
        <w:rPr>
          <w:color w:val="000000"/>
        </w:rPr>
        <w:t>maddenin</w:t>
      </w:r>
      <w:proofErr w:type="gramEnd"/>
      <w:r>
        <w:rPr>
          <w:color w:val="000000"/>
        </w:rPr>
        <w:t xml:space="preserve"> 1. </w:t>
      </w:r>
      <w:proofErr w:type="gramStart"/>
      <w:r>
        <w:rPr>
          <w:color w:val="000000"/>
        </w:rPr>
        <w:t>fıkrası</w:t>
      </w:r>
      <w:proofErr w:type="gramEnd"/>
      <w:r>
        <w:rPr>
          <w:color w:val="000000"/>
        </w:rPr>
        <w:t xml:space="preserve"> kapsamındaki şikayetleri bakımından hiçbir baş</w:t>
      </w:r>
      <w:r>
        <w:rPr>
          <w:color w:val="000000"/>
        </w:rPr>
        <w:t xml:space="preserve">arı şansının olmayacağını değerlendirmektedir. Bu doğrultuda Mahkeme, başvurucuların </w:t>
      </w:r>
      <w:proofErr w:type="gramStart"/>
      <w:r>
        <w:rPr>
          <w:color w:val="000000"/>
        </w:rPr>
        <w:t>Sözleşme'nin</w:t>
      </w:r>
      <w:proofErr w:type="gramEnd"/>
      <w:r>
        <w:rPr>
          <w:color w:val="000000"/>
        </w:rPr>
        <w:t xml:space="preserve"> 35.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doğrultusunda bu tazmin edici hukuk yolunu kullanmalarının gerekmediği kanaatindedir (bakınız, benzer bir bulgu için, </w:t>
      </w:r>
      <w:r>
        <w:rPr>
          <w:i/>
          <w:color w:val="000000"/>
        </w:rPr>
        <w:t>Baş</w:t>
      </w:r>
      <w:r>
        <w:rPr>
          <w:color w:val="000000"/>
        </w:rPr>
        <w:t xml:space="preserve">, yukarıda </w:t>
      </w:r>
      <w:r>
        <w:rPr>
          <w:color w:val="000000"/>
        </w:rPr>
        <w:t xml:space="preserve">anılan, § 121 ve </w:t>
      </w:r>
      <w:r>
        <w:rPr>
          <w:i/>
          <w:color w:val="000000"/>
        </w:rPr>
        <w:t>Sabuncu ve diğerleri v. Türkiye</w:t>
      </w:r>
      <w:r>
        <w:rPr>
          <w:color w:val="000000"/>
        </w:rPr>
        <w:t xml:space="preserve">, no. 23199/17, § 126, 10 Kasım 2020). </w:t>
      </w:r>
      <w:r>
        <w:t>Mahkeme b</w:t>
      </w:r>
      <w:r>
        <w:rPr>
          <w:color w:val="000000"/>
        </w:rPr>
        <w:t>u nedenle Hükümet'in bu konudaki itirazını reddetmektedir.</w:t>
      </w:r>
    </w:p>
    <w:p w:rsidR="00380A26" w:rsidRDefault="0059142E">
      <w:pPr>
        <w:keepNext/>
        <w:keepLines/>
        <w:numPr>
          <w:ilvl w:val="4"/>
          <w:numId w:val="4"/>
        </w:numPr>
        <w:pBdr>
          <w:top w:val="nil"/>
          <w:left w:val="nil"/>
          <w:bottom w:val="nil"/>
          <w:right w:val="nil"/>
          <w:between w:val="nil"/>
        </w:pBdr>
        <w:spacing w:before="100" w:after="120"/>
        <w:jc w:val="both"/>
        <w:rPr>
          <w:b/>
          <w:color w:val="000000"/>
        </w:rPr>
      </w:pPr>
      <w:r>
        <w:rPr>
          <w:b/>
          <w:color w:val="000000"/>
          <w:sz w:val="20"/>
          <w:szCs w:val="20"/>
        </w:rPr>
        <w:t xml:space="preserve">Mağdur </w:t>
      </w:r>
      <w:r>
        <w:rPr>
          <w:b/>
          <w:sz w:val="20"/>
          <w:szCs w:val="20"/>
        </w:rPr>
        <w:t>sıfatı</w:t>
      </w:r>
    </w:p>
    <w:p w:rsidR="00380A26" w:rsidRDefault="0059142E">
      <w:pPr>
        <w:pBdr>
          <w:top w:val="nil"/>
          <w:left w:val="nil"/>
          <w:bottom w:val="nil"/>
          <w:right w:val="nil"/>
          <w:between w:val="nil"/>
        </w:pBdr>
        <w:ind w:firstLine="284"/>
        <w:jc w:val="both"/>
        <w:rPr>
          <w:color w:val="000000"/>
        </w:rPr>
      </w:pPr>
      <w:bookmarkStart w:id="21" w:name="_heading=h.1hmsyys" w:colFirst="0" w:colLast="0"/>
      <w:bookmarkEnd w:id="21"/>
      <w:r>
        <w:rPr>
          <w:color w:val="000000"/>
        </w:rPr>
        <w:t xml:space="preserve">61. 55057/17 numaralı başvurunun sahibi başvurucunun, </w:t>
      </w:r>
      <w:proofErr w:type="gramStart"/>
      <w:r>
        <w:rPr>
          <w:color w:val="000000"/>
        </w:rPr>
        <w:t>CMK'nın</w:t>
      </w:r>
      <w:proofErr w:type="gramEnd"/>
      <w:r>
        <w:rPr>
          <w:color w:val="000000"/>
        </w:rPr>
        <w:t xml:space="preserve"> 141. </w:t>
      </w:r>
      <w:proofErr w:type="gramStart"/>
      <w:r>
        <w:rPr>
          <w:color w:val="000000"/>
        </w:rPr>
        <w:t>maddesinin</w:t>
      </w:r>
      <w:proofErr w:type="gramEnd"/>
      <w:r>
        <w:rPr>
          <w:color w:val="000000"/>
        </w:rPr>
        <w:t xml:space="preserve"> 1. </w:t>
      </w:r>
      <w:proofErr w:type="gramStart"/>
      <w:r>
        <w:rPr>
          <w:color w:val="000000"/>
        </w:rPr>
        <w:t>fıkras</w:t>
      </w:r>
      <w:r>
        <w:rPr>
          <w:color w:val="000000"/>
        </w:rPr>
        <w:t>ının e bendi uyarınca kendisine verilen tazminat nedeniyle mağdur statüsünü kaybetmiş olarak kabul edilip edilemeyeceği sorusuna gelince Mahkeme, ulusal makamla</w:t>
      </w:r>
      <w:r>
        <w:t>r</w:t>
      </w:r>
      <w:r>
        <w:rPr>
          <w:color w:val="000000"/>
        </w:rPr>
        <w:t xml:space="preserve"> Sözleşme’nin ihlalini açıkça veya esasen kabul etmedikçe ve </w:t>
      </w:r>
      <w:r>
        <w:t>de</w:t>
      </w:r>
      <w:r>
        <w:rPr>
          <w:color w:val="000000"/>
        </w:rPr>
        <w:t xml:space="preserve"> Sözleşme'nin ihlali için tazmin</w:t>
      </w:r>
      <w:r>
        <w:rPr>
          <w:color w:val="000000"/>
        </w:rPr>
        <w:t xml:space="preserve"> sağlamadıkça (bakınız, diğer ilke kararların yanı sıra, </w:t>
      </w:r>
      <w:r>
        <w:rPr>
          <w:i/>
          <w:color w:val="000000"/>
        </w:rPr>
        <w:t>Gäfgen v. Almanya </w:t>
      </w:r>
      <w:r>
        <w:rPr>
          <w:color w:val="000000"/>
        </w:rPr>
        <w:t xml:space="preserve">[BD], no. 22978/05, § 115, ECHR 2010, ve </w:t>
      </w:r>
      <w:r>
        <w:rPr>
          <w:i/>
          <w:color w:val="000000"/>
        </w:rPr>
        <w:t>Alparslan Altan</w:t>
      </w:r>
      <w:r>
        <w:rPr>
          <w:color w:val="000000"/>
        </w:rPr>
        <w:t>, yukarıda anılan, § 85), ilke olarak lehte bir karar veya tedbirin, Sözleşme'nin 34.</w:t>
      </w:r>
      <w:proofErr w:type="gramEnd"/>
      <w:r>
        <w:rPr>
          <w:color w:val="000000"/>
        </w:rPr>
        <w:t xml:space="preserve"> </w:t>
      </w:r>
      <w:proofErr w:type="gramStart"/>
      <w:r>
        <w:rPr>
          <w:color w:val="000000"/>
        </w:rPr>
        <w:t>maddesinin</w:t>
      </w:r>
      <w:proofErr w:type="gramEnd"/>
      <w:r>
        <w:rPr>
          <w:color w:val="000000"/>
        </w:rPr>
        <w:t xml:space="preserve"> amaçları doğrultusunda başvu</w:t>
      </w:r>
      <w:r>
        <w:rPr>
          <w:color w:val="000000"/>
        </w:rPr>
        <w:t xml:space="preserve">rucuları "mağdur" </w:t>
      </w:r>
      <w:r>
        <w:t xml:space="preserve">sıfatından </w:t>
      </w:r>
      <w:r>
        <w:rPr>
          <w:color w:val="000000"/>
        </w:rPr>
        <w:t xml:space="preserve">yoksun bırakmaya yetmediğine ilişkin </w:t>
      </w:r>
      <w:r>
        <w:t>devamlı ve</w:t>
      </w:r>
      <w:r>
        <w:rPr>
          <w:color w:val="000000"/>
        </w:rPr>
        <w:t xml:space="preserve"> yerleşik içtihadına atıfta bulunmaktadır.</w:t>
      </w:r>
    </w:p>
    <w:p w:rsidR="00380A26" w:rsidRDefault="0059142E">
      <w:pPr>
        <w:pBdr>
          <w:top w:val="nil"/>
          <w:left w:val="nil"/>
          <w:bottom w:val="nil"/>
          <w:right w:val="nil"/>
          <w:between w:val="nil"/>
        </w:pBdr>
        <w:ind w:firstLine="284"/>
        <w:jc w:val="both"/>
        <w:rPr>
          <w:color w:val="000000"/>
        </w:rPr>
      </w:pPr>
      <w:r>
        <w:rPr>
          <w:color w:val="000000"/>
        </w:rPr>
        <w:t xml:space="preserve">62. Mahkeme, bu bağlamda, söz konusu tazminatın, ilgili başvurucunun beraat etmesine istinaden verildiğine ve tutukluluğunun hukuka aykırılığının </w:t>
      </w:r>
      <w:r>
        <w:t xml:space="preserve">ikrar </w:t>
      </w:r>
      <w:r>
        <w:rPr>
          <w:color w:val="000000"/>
        </w:rPr>
        <w:t xml:space="preserve">edilmediğine işaret etmektedir. </w:t>
      </w:r>
      <w:proofErr w:type="gramStart"/>
      <w:r>
        <w:rPr>
          <w:color w:val="000000"/>
        </w:rPr>
        <w:t>CMK'nın</w:t>
      </w:r>
      <w:proofErr w:type="gramEnd"/>
      <w:r>
        <w:rPr>
          <w:color w:val="000000"/>
        </w:rPr>
        <w:t xml:space="preserve"> 141. </w:t>
      </w:r>
      <w:proofErr w:type="gramStart"/>
      <w:r>
        <w:rPr>
          <w:color w:val="000000"/>
        </w:rPr>
        <w:t>maddesinin</w:t>
      </w:r>
      <w:proofErr w:type="gramEnd"/>
      <w:r>
        <w:rPr>
          <w:color w:val="000000"/>
        </w:rPr>
        <w:t xml:space="preserve"> 1. </w:t>
      </w:r>
      <w:proofErr w:type="gramStart"/>
      <w:r>
        <w:rPr>
          <w:color w:val="000000"/>
        </w:rPr>
        <w:t>fıkrasının</w:t>
      </w:r>
      <w:proofErr w:type="gramEnd"/>
      <w:r>
        <w:rPr>
          <w:color w:val="000000"/>
        </w:rPr>
        <w:t xml:space="preserve"> e bendinin lafzı, bu hüküm uyarınc</w:t>
      </w:r>
      <w:r>
        <w:rPr>
          <w:color w:val="000000"/>
        </w:rPr>
        <w:t xml:space="preserve">a verilecek tazminatın, "yasaya göre" gözaltına alındıktan veya tutuklandıktan sonra beraat edenlere verildiği konusunda esasen çok açıktır. Bu nedenle ve yerel mahkemelerin mevcut bağlamda “kanunilik” konusuna sabit yaklaşımına ilişkin yukarıda 59. </w:t>
      </w:r>
      <w:proofErr w:type="gramStart"/>
      <w:r>
        <w:rPr>
          <w:color w:val="000000"/>
        </w:rPr>
        <w:t>paragr</w:t>
      </w:r>
      <w:r>
        <w:rPr>
          <w:color w:val="000000"/>
        </w:rPr>
        <w:t>afta</w:t>
      </w:r>
      <w:proofErr w:type="gramEnd"/>
      <w:r>
        <w:rPr>
          <w:color w:val="000000"/>
        </w:rPr>
        <w:t xml:space="preserve"> yapılan değerlendirme de dikkate alınarak, başvurucuya verilen tazminat, iddia edilen özgürlük hakkının ihlalini </w:t>
      </w:r>
      <w:r>
        <w:t>ikrar eden</w:t>
      </w:r>
      <w:r>
        <w:rPr>
          <w:color w:val="000000"/>
        </w:rPr>
        <w:t xml:space="preserve"> ve mağdur </w:t>
      </w:r>
      <w:r>
        <w:t xml:space="preserve">sıfatının </w:t>
      </w:r>
      <w:r>
        <w:rPr>
          <w:color w:val="000000"/>
        </w:rPr>
        <w:t xml:space="preserve">ortadan </w:t>
      </w:r>
      <w:r>
        <w:t xml:space="preserve">kaldıran nitelikte </w:t>
      </w:r>
      <w:r>
        <w:rPr>
          <w:color w:val="000000"/>
        </w:rPr>
        <w:t xml:space="preserve">değerlendirilemez. Bu nedenle Mahkeme, </w:t>
      </w:r>
      <w:r>
        <w:rPr>
          <w:color w:val="000000"/>
        </w:rPr>
        <w:lastRenderedPageBreak/>
        <w:t xml:space="preserve">Hükümet'in hem 55057/17 sayılı başvuruya </w:t>
      </w:r>
      <w:r>
        <w:rPr>
          <w:color w:val="000000"/>
        </w:rPr>
        <w:t>hem de aynı gerekçeyle tazminat almış olabilecek diğer başvuruculara ilişkin itirazını reddetmektedir.</w:t>
      </w:r>
    </w:p>
    <w:p w:rsidR="00380A26" w:rsidRDefault="0059142E">
      <w:pPr>
        <w:keepNext/>
        <w:keepLines/>
        <w:numPr>
          <w:ilvl w:val="4"/>
          <w:numId w:val="4"/>
        </w:numPr>
        <w:pBdr>
          <w:top w:val="nil"/>
          <w:left w:val="nil"/>
          <w:bottom w:val="nil"/>
          <w:right w:val="nil"/>
          <w:between w:val="nil"/>
        </w:pBdr>
        <w:spacing w:before="100" w:after="120"/>
        <w:jc w:val="both"/>
        <w:rPr>
          <w:b/>
          <w:color w:val="000000"/>
        </w:rPr>
      </w:pPr>
      <w:r>
        <w:rPr>
          <w:b/>
          <w:color w:val="000000"/>
          <w:sz w:val="20"/>
          <w:szCs w:val="20"/>
        </w:rPr>
        <w:t>Başvuru hakkının kötüye kullanılması</w:t>
      </w:r>
    </w:p>
    <w:p w:rsidR="00380A26" w:rsidRDefault="0059142E">
      <w:pPr>
        <w:pBdr>
          <w:top w:val="nil"/>
          <w:left w:val="nil"/>
          <w:bottom w:val="nil"/>
          <w:right w:val="nil"/>
          <w:between w:val="nil"/>
        </w:pBdr>
        <w:ind w:firstLine="284"/>
        <w:jc w:val="both"/>
        <w:rPr>
          <w:color w:val="000000"/>
        </w:rPr>
      </w:pPr>
      <w:bookmarkStart w:id="22" w:name="_heading=h.2grqrue" w:colFirst="0" w:colLast="0"/>
      <w:bookmarkEnd w:id="22"/>
      <w:r>
        <w:rPr>
          <w:color w:val="000000"/>
        </w:rPr>
        <w:t xml:space="preserve">63. Mahkeme, </w:t>
      </w:r>
      <w:proofErr w:type="gramStart"/>
      <w:r>
        <w:rPr>
          <w:color w:val="000000"/>
        </w:rPr>
        <w:t>Sözleşme'nin</w:t>
      </w:r>
      <w:proofErr w:type="gramEnd"/>
      <w:r>
        <w:rPr>
          <w:color w:val="000000"/>
        </w:rPr>
        <w:t xml:space="preserve"> 35. </w:t>
      </w:r>
      <w:proofErr w:type="gramStart"/>
      <w:r>
        <w:rPr>
          <w:color w:val="000000"/>
        </w:rPr>
        <w:t>maddesinin</w:t>
      </w:r>
      <w:proofErr w:type="gramEnd"/>
      <w:r>
        <w:rPr>
          <w:color w:val="000000"/>
        </w:rPr>
        <w:t xml:space="preserve"> 3. </w:t>
      </w:r>
      <w:proofErr w:type="gramStart"/>
      <w:r>
        <w:rPr>
          <w:color w:val="000000"/>
        </w:rPr>
        <w:t>fıkrasının</w:t>
      </w:r>
      <w:proofErr w:type="gramEnd"/>
      <w:r>
        <w:rPr>
          <w:color w:val="000000"/>
        </w:rPr>
        <w:t xml:space="preserve"> a bendi uyarınca diğer nedenlerin yanı sıra, bilerek gerçek d</w:t>
      </w:r>
      <w:r>
        <w:rPr>
          <w:color w:val="000000"/>
        </w:rPr>
        <w:t xml:space="preserve">ışı </w:t>
      </w:r>
      <w:r>
        <w:t xml:space="preserve">olgulara </w:t>
      </w:r>
      <w:r>
        <w:rPr>
          <w:color w:val="000000"/>
        </w:rPr>
        <w:t xml:space="preserve">dayandırılması durumunda, </w:t>
      </w:r>
      <w:r>
        <w:t xml:space="preserve">bir başvurunun </w:t>
      </w:r>
      <w:r>
        <w:rPr>
          <w:color w:val="000000"/>
        </w:rPr>
        <w:t xml:space="preserve">kötüye kullanılması nedeniyle reddedilebileceğini hatırlatmaktadır (bakınız </w:t>
      </w:r>
      <w:r>
        <w:rPr>
          <w:i/>
          <w:color w:val="000000"/>
        </w:rPr>
        <w:t>X ve diğerleri v. Bulgaristan</w:t>
      </w:r>
      <w:r>
        <w:rPr>
          <w:color w:val="000000"/>
        </w:rPr>
        <w:t> [BD], no. 22457/16, § 145, 2 Şubat 2021). Eksik ve dolayısıyla yanıltıcı bilgi, özellikle bu bil</w:t>
      </w:r>
      <w:r>
        <w:rPr>
          <w:color w:val="000000"/>
        </w:rPr>
        <w:t xml:space="preserve">gi davanın esasıyla ilgiliyse ve bu bilgilerin tebliğ edilmemesine ilişkin yeterli açıklama yapılmadıysa, başvuru hakkının kötüye kullanılması anlamına gelebilmektedir (bakınız, örneğin, </w:t>
      </w:r>
      <w:r>
        <w:rPr>
          <w:i/>
          <w:color w:val="000000"/>
        </w:rPr>
        <w:t xml:space="preserve">Predescu v. </w:t>
      </w:r>
      <w:proofErr w:type="gramStart"/>
      <w:r>
        <w:rPr>
          <w:i/>
          <w:color w:val="000000"/>
        </w:rPr>
        <w:t>Romanya</w:t>
      </w:r>
      <w:r>
        <w:rPr>
          <w:color w:val="000000"/>
        </w:rPr>
        <w:t xml:space="preserve"> ,</w:t>
      </w:r>
      <w:proofErr w:type="gramEnd"/>
      <w:r>
        <w:rPr>
          <w:color w:val="000000"/>
        </w:rPr>
        <w:t xml:space="preserve"> no. 21447/03, § 25, 2 Aralık 2008). Aynı durum,</w:t>
      </w:r>
      <w:r>
        <w:rPr>
          <w:color w:val="000000"/>
        </w:rPr>
        <w:t xml:space="preserve"> Mahkeme önündeki yargılamalar sırasında yeni, önemli gelişmelerin meydana geldiği ve başvurucunun - Mahkeme İç Tüzüğü'nün 47. </w:t>
      </w:r>
      <w:proofErr w:type="gramStart"/>
      <w:r>
        <w:rPr>
          <w:color w:val="000000"/>
        </w:rPr>
        <w:t>maddesinin</w:t>
      </w:r>
      <w:proofErr w:type="gramEnd"/>
      <w:r>
        <w:rPr>
          <w:color w:val="000000"/>
        </w:rPr>
        <w:t xml:space="preserve"> 6. </w:t>
      </w:r>
      <w:proofErr w:type="gramStart"/>
      <w:r>
        <w:rPr>
          <w:color w:val="000000"/>
        </w:rPr>
        <w:t>fıkrası</w:t>
      </w:r>
      <w:proofErr w:type="gramEnd"/>
      <w:r>
        <w:rPr>
          <w:color w:val="000000"/>
        </w:rPr>
        <w:t xml:space="preserve"> tarafından açıkça gerek kılınmasına rağmen - bu bilgileri Mahkeme'ye tebliğ etmediği ve böylece Mahkeme'nin</w:t>
      </w:r>
      <w:r>
        <w:rPr>
          <w:color w:val="000000"/>
        </w:rPr>
        <w:t xml:space="preserve"> olaylar hakkında tam bilgi sahibi olarak karar vermesini engellediği durumlarda da geçerlidir. Ancak, bu tür davalarda bile, başvurucunun Mahkeme'yi yanıltma niyeti, her zaman yeterli bir kesinlikle belirlenmelidir (bakınız </w:t>
      </w:r>
      <w:r>
        <w:rPr>
          <w:i/>
          <w:color w:val="000000"/>
        </w:rPr>
        <w:t>Centro Europa 7 S.r.l. ve Di St</w:t>
      </w:r>
      <w:r>
        <w:rPr>
          <w:i/>
          <w:color w:val="000000"/>
        </w:rPr>
        <w:t>efano v. İtalya</w:t>
      </w:r>
      <w:r>
        <w:rPr>
          <w:color w:val="000000"/>
        </w:rPr>
        <w:t> [BD], no. 38433/09, § 97, ECHR 2012).</w:t>
      </w:r>
    </w:p>
    <w:p w:rsidR="00380A26" w:rsidRDefault="0059142E">
      <w:pPr>
        <w:pBdr>
          <w:top w:val="nil"/>
          <w:left w:val="nil"/>
          <w:bottom w:val="nil"/>
          <w:right w:val="nil"/>
          <w:between w:val="nil"/>
        </w:pBdr>
        <w:ind w:firstLine="284"/>
        <w:jc w:val="both"/>
        <w:rPr>
          <w:color w:val="000000"/>
        </w:rPr>
      </w:pPr>
      <w:r>
        <w:rPr>
          <w:color w:val="000000"/>
        </w:rPr>
        <w:t xml:space="preserve">64.  Dava dosyalarını ve tarafların beyanlarını yukarıdaki esaslar ışığında inceledikten sonra Mahkeme, başvurucuların kasıtlı olarak yanlış yönlendirmek amacıyla bilgileri sakladıkları veya söz konusu </w:t>
      </w:r>
      <w:r>
        <w:rPr>
          <w:color w:val="000000"/>
        </w:rPr>
        <w:t>şikayetleriyle ilgili olarak dilekçe hakkını başka bir şekilde kötüye kullandıkları sonucuna varmasına yol açacak herhangi bir emar</w:t>
      </w:r>
      <w:r>
        <w:t>eye rastlamamaktadır</w:t>
      </w:r>
      <w:r>
        <w:rPr>
          <w:color w:val="000000"/>
        </w:rPr>
        <w:t>. Dolayısıyla, Hükümet’in bu bağlamdaki itirazı reddedilmelidir.</w:t>
      </w:r>
    </w:p>
    <w:p w:rsidR="00380A26" w:rsidRDefault="0059142E">
      <w:pPr>
        <w:keepNext/>
        <w:keepLines/>
        <w:numPr>
          <w:ilvl w:val="4"/>
          <w:numId w:val="4"/>
        </w:numPr>
        <w:pBdr>
          <w:top w:val="nil"/>
          <w:left w:val="nil"/>
          <w:bottom w:val="nil"/>
          <w:right w:val="nil"/>
          <w:between w:val="nil"/>
        </w:pBdr>
        <w:spacing w:before="100" w:after="120"/>
        <w:jc w:val="both"/>
      </w:pPr>
      <w:r>
        <w:rPr>
          <w:b/>
          <w:color w:val="000000"/>
          <w:sz w:val="20"/>
          <w:szCs w:val="20"/>
        </w:rPr>
        <w:t xml:space="preserve"> Sonuç</w:t>
      </w:r>
    </w:p>
    <w:p w:rsidR="00380A26" w:rsidRDefault="0059142E">
      <w:pPr>
        <w:pBdr>
          <w:top w:val="nil"/>
          <w:left w:val="nil"/>
          <w:bottom w:val="nil"/>
          <w:right w:val="nil"/>
          <w:between w:val="nil"/>
        </w:pBdr>
        <w:ind w:firstLine="284"/>
        <w:jc w:val="both"/>
        <w:rPr>
          <w:color w:val="000000"/>
        </w:rPr>
      </w:pPr>
      <w:r>
        <w:rPr>
          <w:color w:val="000000"/>
        </w:rPr>
        <w:t>65.  Bu doğrultuda Mahkeme, başvu</w:t>
      </w:r>
      <w:r>
        <w:rPr>
          <w:color w:val="000000"/>
        </w:rPr>
        <w:t xml:space="preserve">rucuların tutuklanmalarının hukuka uygunluğuna ilişkin şikayetlerinin, açıkça dayanaktan yoksun veya </w:t>
      </w:r>
      <w:proofErr w:type="gramStart"/>
      <w:r>
        <w:rPr>
          <w:color w:val="000000"/>
        </w:rPr>
        <w:t>Sözleşme'nin</w:t>
      </w:r>
      <w:proofErr w:type="gramEnd"/>
      <w:r>
        <w:rPr>
          <w:color w:val="000000"/>
        </w:rPr>
        <w:t xml:space="preserve"> 35. </w:t>
      </w:r>
      <w:proofErr w:type="gramStart"/>
      <w:r>
        <w:rPr>
          <w:color w:val="000000"/>
        </w:rPr>
        <w:t>maddesinde</w:t>
      </w:r>
      <w:proofErr w:type="gramEnd"/>
      <w:r>
        <w:rPr>
          <w:color w:val="000000"/>
        </w:rPr>
        <w:t xml:space="preserve"> sıralanan diğer gerekçelerle kabul edilemez olmadığını kaydetmektedir. Bu nedenle, </w:t>
      </w:r>
      <w:proofErr w:type="gramStart"/>
      <w:r>
        <w:rPr>
          <w:color w:val="000000"/>
        </w:rPr>
        <w:t>kabul</w:t>
      </w:r>
      <w:proofErr w:type="gramEnd"/>
      <w:r>
        <w:rPr>
          <w:color w:val="000000"/>
        </w:rPr>
        <w:t xml:space="preserve"> edilebilir olarak </w:t>
      </w:r>
      <w:r>
        <w:t>ilan</w:t>
      </w:r>
      <w:r>
        <w:rPr>
          <w:color w:val="000000"/>
        </w:rPr>
        <w:t xml:space="preserve"> edilmelidir.</w:t>
      </w:r>
    </w:p>
    <w:p w:rsidR="00380A26" w:rsidRDefault="0059142E">
      <w:pPr>
        <w:keepNext/>
        <w:keepLines/>
        <w:numPr>
          <w:ilvl w:val="2"/>
          <w:numId w:val="4"/>
        </w:numPr>
        <w:pBdr>
          <w:top w:val="nil"/>
          <w:left w:val="nil"/>
          <w:bottom w:val="nil"/>
          <w:right w:val="nil"/>
          <w:between w:val="nil"/>
        </w:pBdr>
        <w:spacing w:before="100" w:after="240"/>
        <w:jc w:val="both"/>
      </w:pPr>
      <w:r>
        <w:rPr>
          <w:b/>
          <w:color w:val="000000"/>
        </w:rPr>
        <w:t>Esas</w:t>
      </w:r>
    </w:p>
    <w:p w:rsidR="00380A26" w:rsidRDefault="0059142E">
      <w:pPr>
        <w:keepNext/>
        <w:keepLines/>
        <w:numPr>
          <w:ilvl w:val="3"/>
          <w:numId w:val="4"/>
        </w:numPr>
        <w:pBdr>
          <w:top w:val="nil"/>
          <w:left w:val="nil"/>
          <w:bottom w:val="nil"/>
          <w:right w:val="nil"/>
          <w:between w:val="nil"/>
        </w:pBdr>
        <w:spacing w:before="100" w:after="120"/>
        <w:jc w:val="both"/>
      </w:pPr>
      <w:r>
        <w:rPr>
          <w:i/>
          <w:color w:val="000000"/>
        </w:rPr>
        <w:t>Tarafların beyanları</w:t>
      </w:r>
    </w:p>
    <w:p w:rsidR="00380A26" w:rsidRDefault="0059142E">
      <w:pPr>
        <w:keepNext/>
        <w:keepLines/>
        <w:numPr>
          <w:ilvl w:val="4"/>
          <w:numId w:val="4"/>
        </w:numPr>
        <w:pBdr>
          <w:top w:val="nil"/>
          <w:left w:val="nil"/>
          <w:bottom w:val="nil"/>
          <w:right w:val="nil"/>
          <w:between w:val="nil"/>
        </w:pBdr>
        <w:spacing w:before="100" w:after="120"/>
        <w:jc w:val="both"/>
      </w:pPr>
      <w:r>
        <w:rPr>
          <w:b/>
          <w:color w:val="000000"/>
          <w:sz w:val="20"/>
          <w:szCs w:val="20"/>
        </w:rPr>
        <w:t>Başvurucular</w:t>
      </w:r>
    </w:p>
    <w:p w:rsidR="00380A26" w:rsidRDefault="0059142E">
      <w:pPr>
        <w:pBdr>
          <w:top w:val="nil"/>
          <w:left w:val="nil"/>
          <w:bottom w:val="nil"/>
          <w:right w:val="nil"/>
          <w:between w:val="nil"/>
        </w:pBdr>
        <w:ind w:firstLine="284"/>
        <w:jc w:val="both"/>
      </w:pPr>
      <w:r>
        <w:rPr>
          <w:color w:val="000000"/>
        </w:rPr>
        <w:t>66.  Başvurucular, yargı mensuplarının gözaltına alınması ve tutuklanmasına ilişkin olarak iç hukukta öngörülen özel usuli kuralların ihlal edilerek tutuklandıklarını iddia etmişlerdir.</w:t>
      </w:r>
    </w:p>
    <w:p w:rsidR="00380A26" w:rsidRDefault="0059142E">
      <w:pPr>
        <w:pBdr>
          <w:top w:val="nil"/>
          <w:left w:val="nil"/>
          <w:bottom w:val="nil"/>
          <w:right w:val="nil"/>
          <w:between w:val="nil"/>
        </w:pBdr>
        <w:ind w:firstLine="284"/>
        <w:jc w:val="both"/>
        <w:rPr>
          <w:color w:val="000000"/>
        </w:rPr>
      </w:pPr>
      <w:r>
        <w:rPr>
          <w:color w:val="000000"/>
        </w:rPr>
        <w:t xml:space="preserve">67.  Tutuklu bulundukları sırada 2802 sayılı Kanun'a tabi olan başvurucuların – yani </w:t>
      </w:r>
      <w:r>
        <w:t>normal</w:t>
      </w:r>
      <w:r>
        <w:rPr>
          <w:color w:val="000000"/>
        </w:rPr>
        <w:t xml:space="preserve"> hâkim ve savcıların – sunduğu beyanlar, büyük ölçüde </w:t>
      </w:r>
      <w:r>
        <w:rPr>
          <w:i/>
          <w:color w:val="000000"/>
        </w:rPr>
        <w:t xml:space="preserve">Baş </w:t>
      </w:r>
      <w:r>
        <w:rPr>
          <w:color w:val="000000"/>
        </w:rPr>
        <w:t>davasında (yukarıda anılan, §§ 133 -135) belirtilenlerle aynı doğrultudadır.</w:t>
      </w:r>
    </w:p>
    <w:p w:rsidR="00380A26" w:rsidRDefault="0059142E">
      <w:pPr>
        <w:pBdr>
          <w:top w:val="nil"/>
          <w:left w:val="nil"/>
          <w:bottom w:val="nil"/>
          <w:right w:val="nil"/>
          <w:between w:val="nil"/>
        </w:pBdr>
        <w:ind w:firstLine="284"/>
        <w:jc w:val="both"/>
        <w:rPr>
          <w:color w:val="000000"/>
        </w:rPr>
      </w:pPr>
      <w:r>
        <w:rPr>
          <w:color w:val="000000"/>
        </w:rPr>
        <w:lastRenderedPageBreak/>
        <w:t>68.  Söz konusu tarihte Yargıt</w:t>
      </w:r>
      <w:r>
        <w:rPr>
          <w:color w:val="000000"/>
        </w:rPr>
        <w:t xml:space="preserve">ay ve Danıştay üyesi olan diğer başvuruculara gelince, esas olarak, kendi statülerini düzenleyen ilgili hükümler - yani 2797 sayılı Kanun'un 46. </w:t>
      </w:r>
      <w:proofErr w:type="gramStart"/>
      <w:r>
        <w:rPr>
          <w:color w:val="000000"/>
        </w:rPr>
        <w:t>maddesi</w:t>
      </w:r>
      <w:proofErr w:type="gramEnd"/>
      <w:r>
        <w:rPr>
          <w:color w:val="000000"/>
        </w:rPr>
        <w:t xml:space="preserve"> ve 2575 sayılı Kanun'un 76. </w:t>
      </w:r>
      <w:proofErr w:type="gramStart"/>
      <w:r>
        <w:rPr>
          <w:color w:val="000000"/>
        </w:rPr>
        <w:t>maddesi</w:t>
      </w:r>
      <w:proofErr w:type="gramEnd"/>
      <w:r>
        <w:rPr>
          <w:color w:val="000000"/>
        </w:rPr>
        <w:t xml:space="preserve"> - uyarınca kendileriyle ilgili bir ceza soruşturması açılmasının pr</w:t>
      </w:r>
      <w:r>
        <w:rPr>
          <w:color w:val="000000"/>
        </w:rPr>
        <w:t>ensipte ilgili Başkanlık Kurullarının kararına tabi olduğuna işaret etmişlerdir. Ağır ceza mahkemelerinin görev alanına giren suçüstü halleri söz konusu olduğunda, bunlara ilişkin ön ve ilk soruşturmaların olağan hukuk kuralları çerçevesinde yürütülebilece</w:t>
      </w:r>
      <w:r>
        <w:rPr>
          <w:color w:val="000000"/>
        </w:rPr>
        <w:t xml:space="preserve">ğini </w:t>
      </w:r>
      <w:proofErr w:type="gramStart"/>
      <w:r>
        <w:rPr>
          <w:color w:val="000000"/>
        </w:rPr>
        <w:t>kabul</w:t>
      </w:r>
      <w:proofErr w:type="gramEnd"/>
      <w:r>
        <w:rPr>
          <w:color w:val="000000"/>
        </w:rPr>
        <w:t xml:space="preserve"> etmişler, ancak gözaltına alınmalarının suçüstü halinde bulunma durumunu içerdiği bulgusuna itiraz etmişlerdir. Bu nedenle Mahkeme'den </w:t>
      </w:r>
      <w:r>
        <w:rPr>
          <w:i/>
          <w:color w:val="000000"/>
        </w:rPr>
        <w:t>Alparslan Altan</w:t>
      </w:r>
      <w:r>
        <w:rPr>
          <w:color w:val="000000"/>
        </w:rPr>
        <w:t xml:space="preserve"> (yukarıda anılan) kararında aldığı yaklaşımı izlemesini talep etmişlerdir. Başvuruculardan baz</w:t>
      </w:r>
      <w:r>
        <w:rPr>
          <w:color w:val="000000"/>
        </w:rPr>
        <w:t>ıları, Türk hukukuna göre silahlı örgüte üye olma suçunun “devam eden” mahiyetine ilişkin herhangi bir şüphe bulunmamakla birlikte, bu tür suçlar ile “suçüstü halinin varlığı” kavramı arasında yakın tarihli Yargıtay kararlarında yapılan ilişkinin oldukça a</w:t>
      </w:r>
      <w:r>
        <w:rPr>
          <w:color w:val="000000"/>
        </w:rPr>
        <w:t>bartılı ve hatta hukuka aykırı olduğunu vurgulamışlardır.</w:t>
      </w:r>
    </w:p>
    <w:p w:rsidR="00380A26" w:rsidRDefault="0059142E">
      <w:pPr>
        <w:pBdr>
          <w:top w:val="nil"/>
          <w:left w:val="nil"/>
          <w:bottom w:val="nil"/>
          <w:right w:val="nil"/>
          <w:between w:val="nil"/>
        </w:pBdr>
        <w:ind w:firstLine="284"/>
        <w:jc w:val="both"/>
        <w:rPr>
          <w:color w:val="000000"/>
        </w:rPr>
      </w:pPr>
      <w:r>
        <w:rPr>
          <w:color w:val="000000"/>
        </w:rPr>
        <w:t>69. Bazı başvurucular söz konusu terör örgütünün talimatıyla gerçekleştirdikleri iddia edilen yargısal işlemlerle ilgili olduğu söylendiği için isnat edilen suçun ancak resmi görevlerinin ifasıyla b</w:t>
      </w:r>
      <w:r>
        <w:rPr>
          <w:color w:val="000000"/>
        </w:rPr>
        <w:t>ağlantılı olarak işlenmiş olabileceğini de eklemiştir.</w:t>
      </w:r>
    </w:p>
    <w:p w:rsidR="00380A26" w:rsidRDefault="0059142E">
      <w:pPr>
        <w:keepNext/>
        <w:keepLines/>
        <w:numPr>
          <w:ilvl w:val="4"/>
          <w:numId w:val="4"/>
        </w:numPr>
        <w:pBdr>
          <w:top w:val="nil"/>
          <w:left w:val="nil"/>
          <w:bottom w:val="nil"/>
          <w:right w:val="nil"/>
          <w:between w:val="nil"/>
        </w:pBdr>
        <w:spacing w:before="100" w:after="120"/>
        <w:jc w:val="both"/>
        <w:rPr>
          <w:b/>
          <w:color w:val="000000"/>
        </w:rPr>
      </w:pPr>
      <w:r>
        <w:rPr>
          <w:b/>
          <w:color w:val="000000"/>
          <w:sz w:val="20"/>
          <w:szCs w:val="20"/>
        </w:rPr>
        <w:t>Hükümet</w:t>
      </w:r>
    </w:p>
    <w:p w:rsidR="00380A26" w:rsidRDefault="0059142E">
      <w:pPr>
        <w:pBdr>
          <w:top w:val="nil"/>
          <w:left w:val="nil"/>
          <w:bottom w:val="nil"/>
          <w:right w:val="nil"/>
          <w:between w:val="nil"/>
        </w:pBdr>
        <w:ind w:firstLine="284"/>
        <w:jc w:val="both"/>
        <w:rPr>
          <w:color w:val="000000"/>
        </w:rPr>
      </w:pPr>
      <w:r>
        <w:rPr>
          <w:color w:val="000000"/>
        </w:rPr>
        <w:t xml:space="preserve">70. Hükümet, ilgili olduğu ölçüde </w:t>
      </w:r>
      <w:r>
        <w:rPr>
          <w:i/>
          <w:color w:val="000000"/>
        </w:rPr>
        <w:t>Alparslan Altan</w:t>
      </w:r>
      <w:r>
        <w:rPr>
          <w:color w:val="000000"/>
        </w:rPr>
        <w:t xml:space="preserve"> ve </w:t>
      </w:r>
      <w:r>
        <w:rPr>
          <w:i/>
          <w:color w:val="000000"/>
        </w:rPr>
        <w:t xml:space="preserve">Baş </w:t>
      </w:r>
      <w:r>
        <w:rPr>
          <w:color w:val="000000"/>
        </w:rPr>
        <w:t>davalarında öne sürdü</w:t>
      </w:r>
      <w:r>
        <w:t xml:space="preserve">ğü </w:t>
      </w:r>
      <w:r>
        <w:rPr>
          <w:color w:val="000000"/>
        </w:rPr>
        <w:t>görüşleri (her ikisi de yukarıda anılan, sırasıyla §§ 92-98 ve §§ 136-141) büyük ölçüde tekrarlamıştır ve Mahkem</w:t>
      </w:r>
      <w:r>
        <w:rPr>
          <w:color w:val="000000"/>
        </w:rPr>
        <w:t xml:space="preserve">e'nin bu davalardaki bulgularının aksine başvurucuların tutukluluk hallerinin geçerli iç mevzuata uygun olduğunu ileri sürmüştür. </w:t>
      </w:r>
    </w:p>
    <w:p w:rsidR="00380A26" w:rsidRDefault="0059142E">
      <w:pPr>
        <w:pBdr>
          <w:top w:val="nil"/>
          <w:left w:val="nil"/>
          <w:bottom w:val="nil"/>
          <w:right w:val="nil"/>
          <w:between w:val="nil"/>
        </w:pBdr>
        <w:ind w:firstLine="284"/>
        <w:jc w:val="both"/>
        <w:rPr>
          <w:color w:val="000000"/>
        </w:rPr>
      </w:pPr>
      <w:r>
        <w:rPr>
          <w:color w:val="000000"/>
        </w:rPr>
        <w:t>71.  Hükümet, öncelikle</w:t>
      </w:r>
      <w:r>
        <w:t>,</w:t>
      </w:r>
      <w:r>
        <w:rPr>
          <w:color w:val="000000"/>
        </w:rPr>
        <w:t xml:space="preserve"> suçüstü halinin mevcut olduğu mütalaası</w:t>
      </w:r>
      <w:r w:rsidR="00494CB5">
        <w:t xml:space="preserve">ndan hareketle, </w:t>
      </w:r>
      <w:proofErr w:type="gramStart"/>
      <w:r>
        <w:rPr>
          <w:color w:val="000000"/>
        </w:rPr>
        <w:t>CMK'nın</w:t>
      </w:r>
      <w:proofErr w:type="gramEnd"/>
      <w:r>
        <w:rPr>
          <w:color w:val="000000"/>
        </w:rPr>
        <w:t xml:space="preserve"> genel hükümleri uyarınca başvurucula</w:t>
      </w:r>
      <w:r>
        <w:rPr>
          <w:color w:val="000000"/>
        </w:rPr>
        <w:t xml:space="preserve">r hakkında soruşturma başlatıldığını ve tutuklama </w:t>
      </w:r>
      <w:r>
        <w:t xml:space="preserve">kararı </w:t>
      </w:r>
      <w:r>
        <w:rPr>
          <w:color w:val="000000"/>
        </w:rPr>
        <w:t xml:space="preserve">verildiğini ifade etmiştir. </w:t>
      </w:r>
      <w:r>
        <w:t>Ö</w:t>
      </w:r>
      <w:r>
        <w:rPr>
          <w:color w:val="000000"/>
        </w:rPr>
        <w:t xml:space="preserve">zellikle 2797 ve 2575 sayılı Kanunlar her ne </w:t>
      </w:r>
      <w:proofErr w:type="gramStart"/>
      <w:r>
        <w:rPr>
          <w:color w:val="000000"/>
        </w:rPr>
        <w:t>kadar</w:t>
      </w:r>
      <w:proofErr w:type="gramEnd"/>
      <w:r>
        <w:rPr>
          <w:color w:val="000000"/>
        </w:rPr>
        <w:t xml:space="preserve"> Yargıtay ve Danıştay üyelerine karşı ceza takibatı yapılması için özel bir </w:t>
      </w:r>
      <w:r>
        <w:t xml:space="preserve">usul </w:t>
      </w:r>
      <w:r>
        <w:rPr>
          <w:color w:val="000000"/>
        </w:rPr>
        <w:t>öngörmüşse de</w:t>
      </w:r>
      <w:r w:rsidR="00494CB5">
        <w:t xml:space="preserve"> Hükümet,</w:t>
      </w:r>
      <w:r>
        <w:rPr>
          <w:color w:val="000000"/>
        </w:rPr>
        <w:t xml:space="preserve"> ağır ceza mahkemelerinin görev alanına giren suçüstü hallerinde, soruşturmaların olağan hukuk kurallarına göre yürütülmesi ve </w:t>
      </w:r>
      <w:r>
        <w:t xml:space="preserve">koruma </w:t>
      </w:r>
      <w:r>
        <w:rPr>
          <w:color w:val="000000"/>
        </w:rPr>
        <w:t xml:space="preserve">tedbirlerine </w:t>
      </w:r>
      <w:r>
        <w:t xml:space="preserve">başvurulmasının </w:t>
      </w:r>
      <w:r>
        <w:rPr>
          <w:color w:val="000000"/>
        </w:rPr>
        <w:t xml:space="preserve">mümkün olduğunu açıklamıştır. 2802 sayılı Kanun'un </w:t>
      </w:r>
      <w:r>
        <w:t>normal</w:t>
      </w:r>
      <w:r>
        <w:rPr>
          <w:color w:val="000000"/>
        </w:rPr>
        <w:t xml:space="preserve"> hakim ve savcılara ilişkin 94. </w:t>
      </w:r>
      <w:proofErr w:type="gramStart"/>
      <w:r>
        <w:rPr>
          <w:color w:val="000000"/>
        </w:rPr>
        <w:t>madd</w:t>
      </w:r>
      <w:r>
        <w:rPr>
          <w:color w:val="000000"/>
        </w:rPr>
        <w:t>esi</w:t>
      </w:r>
      <w:proofErr w:type="gramEnd"/>
      <w:r>
        <w:rPr>
          <w:color w:val="000000"/>
        </w:rPr>
        <w:t xml:space="preserve"> benzer şekilde ağır ceza mahkemelerinin görev alanına giren suçüstü halinin tespiti halinde olağan hukuk kurallarının uygulanmasına ilişkin hükümler içermektedir.</w:t>
      </w:r>
    </w:p>
    <w:p w:rsidR="00380A26" w:rsidRDefault="0059142E">
      <w:pPr>
        <w:pBdr>
          <w:top w:val="nil"/>
          <w:left w:val="nil"/>
          <w:bottom w:val="nil"/>
          <w:right w:val="nil"/>
          <w:between w:val="nil"/>
        </w:pBdr>
        <w:ind w:firstLine="284"/>
        <w:jc w:val="both"/>
        <w:rPr>
          <w:color w:val="000000"/>
        </w:rPr>
      </w:pPr>
      <w:r>
        <w:rPr>
          <w:color w:val="000000"/>
        </w:rPr>
        <w:t>72. Hükümet, mevcut davalarda, başvurucular hakkında yürütülen soruşturmanın, ağır ceza m</w:t>
      </w:r>
      <w:r>
        <w:rPr>
          <w:color w:val="000000"/>
        </w:rPr>
        <w:t xml:space="preserve">ahkemelerinin yargı yetkisine giren Türk Ceza Kanunu'nun 314. </w:t>
      </w:r>
      <w:proofErr w:type="gramStart"/>
      <w:r>
        <w:rPr>
          <w:color w:val="000000"/>
        </w:rPr>
        <w:t>maddesinin</w:t>
      </w:r>
      <w:proofErr w:type="gramEnd"/>
      <w:r>
        <w:rPr>
          <w:color w:val="000000"/>
        </w:rPr>
        <w:t xml:space="preserve"> 2. </w:t>
      </w:r>
      <w:proofErr w:type="gramStart"/>
      <w:r>
        <w:rPr>
          <w:color w:val="000000"/>
        </w:rPr>
        <w:t>fıkrası</w:t>
      </w:r>
      <w:proofErr w:type="gramEnd"/>
      <w:r>
        <w:rPr>
          <w:color w:val="000000"/>
        </w:rPr>
        <w:t xml:space="preserve"> uyarınca silahlı terör örgütü üyeliği şüphesiyle ilgili olduğuna işaret etmektedir. Ayrıca silahlı terör örgütüne üyelik suçunun “m</w:t>
      </w:r>
      <w:r>
        <w:t>ütemadi</w:t>
      </w:r>
      <w:r>
        <w:rPr>
          <w:color w:val="000000"/>
        </w:rPr>
        <w:t>” niteliği göz önünde bulundurular</w:t>
      </w:r>
      <w:r>
        <w:rPr>
          <w:color w:val="000000"/>
        </w:rPr>
        <w:t>ak sulh ceza hakimliklerinin, başvurucuların yakalanması sırasında suçüstü hâlinin mevcut olduğunu tespit ettiğini ve 2797, 2575 ve 2802 sayılı Kanunlar</w:t>
      </w:r>
      <w:r>
        <w:t>’</w:t>
      </w:r>
      <w:r>
        <w:rPr>
          <w:color w:val="000000"/>
        </w:rPr>
        <w:t xml:space="preserve">ın </w:t>
      </w:r>
      <w:r>
        <w:rPr>
          <w:color w:val="000000"/>
        </w:rPr>
        <w:lastRenderedPageBreak/>
        <w:t xml:space="preserve">ilgili hükümlerine göre olağan hukuk kurallarına uygun şekilde – yani CMK'nın 100. </w:t>
      </w:r>
      <w:proofErr w:type="gramStart"/>
      <w:r>
        <w:rPr>
          <w:color w:val="000000"/>
        </w:rPr>
        <w:t>maddesi</w:t>
      </w:r>
      <w:proofErr w:type="gramEnd"/>
      <w:r>
        <w:rPr>
          <w:color w:val="000000"/>
        </w:rPr>
        <w:t xml:space="preserve"> ve devamı</w:t>
      </w:r>
      <w:r>
        <w:rPr>
          <w:color w:val="000000"/>
        </w:rPr>
        <w:t xml:space="preserve"> – tutuklanmalarına hükmettiğini not etmektedir. Ayrıca Anayasa Mahkemesi, kendisine başvurucular tarafından yapılan bireysel başvurular bağlamında, başvurucuların soruşturma makamlarının değerlendirmesinin   – kendilerine isnat edilen terör örgütüne üyeli</w:t>
      </w:r>
      <w:r>
        <w:rPr>
          <w:color w:val="000000"/>
        </w:rPr>
        <w:t xml:space="preserve">k suçuna ilişkin suçüstü hâlinin bulunması – olgusal ve yasal bir temelden yoksun olduğu ve dolayısıyla keyfi olduğu yönündeki iddiasını </w:t>
      </w:r>
      <w:proofErr w:type="gramStart"/>
      <w:r>
        <w:rPr>
          <w:color w:val="000000"/>
        </w:rPr>
        <w:t>kabul</w:t>
      </w:r>
      <w:proofErr w:type="gramEnd"/>
      <w:r>
        <w:rPr>
          <w:color w:val="000000"/>
        </w:rPr>
        <w:t xml:space="preserve"> etmemiştir. Hükümet, bu nedenle, Mahkeme önünde çözülmesi gereken birincil sorunun, başvuruculara isnat edilen su</w:t>
      </w:r>
      <w:r>
        <w:rPr>
          <w:color w:val="000000"/>
        </w:rPr>
        <w:t>çla ilgili olarak bir "suçüstü" halinin bulunup bulunmadığı olduğunu değerlendirmektedir.</w:t>
      </w:r>
    </w:p>
    <w:p w:rsidR="00380A26" w:rsidRDefault="0059142E">
      <w:pPr>
        <w:pBdr>
          <w:top w:val="nil"/>
          <w:left w:val="nil"/>
          <w:bottom w:val="nil"/>
          <w:right w:val="nil"/>
          <w:between w:val="nil"/>
        </w:pBdr>
        <w:ind w:firstLine="284"/>
        <w:jc w:val="both"/>
        <w:rPr>
          <w:color w:val="000000"/>
        </w:rPr>
      </w:pPr>
      <w:r>
        <w:rPr>
          <w:color w:val="000000"/>
        </w:rPr>
        <w:t>73.</w:t>
      </w:r>
      <w:r>
        <w:t xml:space="preserve"> </w:t>
      </w:r>
      <w:r>
        <w:rPr>
          <w:color w:val="000000"/>
        </w:rPr>
        <w:t xml:space="preserve">İç hukukta yer </w:t>
      </w:r>
      <w:proofErr w:type="gramStart"/>
      <w:r>
        <w:rPr>
          <w:color w:val="000000"/>
        </w:rPr>
        <w:t>alan</w:t>
      </w:r>
      <w:proofErr w:type="gramEnd"/>
      <w:r>
        <w:rPr>
          <w:color w:val="000000"/>
        </w:rPr>
        <w:t xml:space="preserve"> hukuki kavramları yorumlamanın ve kapsamını belirlemenin yerel yargı makamlarının görevi olduğunu kaydederek Hükümet, söz konusu sulh ceza hak</w:t>
      </w:r>
      <w:r>
        <w:rPr>
          <w:color w:val="000000"/>
        </w:rPr>
        <w:t>imliklerinin kararlarının Yargıtay'ın yerleşik içtihadına uygun olduğunu iddia etmiştir. Bu bağlamda, silahlı terör örgütü üyeliği suçunun ağır ceza mahkemelerinin yargı yetkisine giren bir “mütemadi suç” olduğuna ilişkin yerel mahkemenin yerleşik uygulama</w:t>
      </w:r>
      <w:r>
        <w:rPr>
          <w:color w:val="000000"/>
        </w:rPr>
        <w:t xml:space="preserve">sına atıfta bulunmuştur. </w:t>
      </w:r>
      <w:proofErr w:type="gramStart"/>
      <w:r>
        <w:rPr>
          <w:color w:val="000000"/>
        </w:rPr>
        <w:t>Ayrıca, Yargıtay Ceza Genel Kurulu’nun 10 Ekim 2017 (E.2017/YYB-997, K.2017/404) tarihli öncü kararında vardığı sonuca da atıfta bulunmuştur: “silahlı örgüt üyeliği suçundan şüphelenilen yargıçların yakalanması sırasında suçüstü hâ</w:t>
      </w:r>
      <w:r>
        <w:rPr>
          <w:color w:val="000000"/>
        </w:rPr>
        <w:t xml:space="preserve">linin bulunması durumu vardır ve [dolayısıyla] soruşturma olağan hukuk hükümlerine göre yürütülmelidir” (bakınız </w:t>
      </w:r>
      <w:r>
        <w:rPr>
          <w:i/>
          <w:color w:val="000000"/>
        </w:rPr>
        <w:t>Alparslan Altan</w:t>
      </w:r>
      <w:r>
        <w:rPr>
          <w:color w:val="000000"/>
        </w:rPr>
        <w:t>, yukarıda anılan § 63; benzer bir tespit için, ayrıca bakınız Yargıtay Ceza Genel Kurulu’nun 26 Eylül 2017 tarihli kararı (E. 2</w:t>
      </w:r>
      <w:r>
        <w:rPr>
          <w:color w:val="000000"/>
        </w:rPr>
        <w:t xml:space="preserve">017/16-956, K. 2017/370) , </w:t>
      </w:r>
      <w:r>
        <w:rPr>
          <w:i/>
          <w:color w:val="000000"/>
        </w:rPr>
        <w:t>Baş</w:t>
      </w:r>
      <w:r>
        <w:rPr>
          <w:color w:val="000000"/>
        </w:rPr>
        <w:t>, yukarıda anılan § 88).</w:t>
      </w:r>
      <w:proofErr w:type="gramEnd"/>
      <w:r>
        <w:rPr>
          <w:color w:val="000000"/>
        </w:rPr>
        <w:t xml:space="preserve"> Hükümet bu bağlamda Yargıtay'ın konuya ilişkin içtihatlarının hiçbir şekilde 15 Temmuz 2016 sonrası dönemin bir ürünü olmadığını vurgulamış, bu mahkemenin, FETÖ/PDY dışındaki terör örgütlerine üyelik s</w:t>
      </w:r>
      <w:r>
        <w:rPr>
          <w:color w:val="000000"/>
        </w:rPr>
        <w:t xml:space="preserve">uçlarına ilişkin ve söz konusu davalardan daha eski olan davalarda “mütemadi suç” ve “suçüstü” kavramlarını benzer şekilde yorumladığını gerekçe göstermiştir. Bu nedenle bu kavramların mevcut bağlamda uygulanması, keyfi olarak </w:t>
      </w:r>
      <w:proofErr w:type="gramStart"/>
      <w:r>
        <w:rPr>
          <w:color w:val="000000"/>
        </w:rPr>
        <w:t>kabul</w:t>
      </w:r>
      <w:proofErr w:type="gramEnd"/>
      <w:r>
        <w:rPr>
          <w:color w:val="000000"/>
        </w:rPr>
        <w:t xml:space="preserve"> edilebilecek yeni bir </w:t>
      </w:r>
      <w:r>
        <w:t>i</w:t>
      </w:r>
      <w:r>
        <w:t>çtihadi yorum</w:t>
      </w:r>
      <w:r>
        <w:rPr>
          <w:color w:val="000000"/>
        </w:rPr>
        <w:t xml:space="preserve"> içermemiştir.</w:t>
      </w:r>
    </w:p>
    <w:p w:rsidR="00380A26" w:rsidRDefault="0059142E">
      <w:pPr>
        <w:pBdr>
          <w:top w:val="nil"/>
          <w:left w:val="nil"/>
          <w:bottom w:val="nil"/>
          <w:right w:val="nil"/>
          <w:between w:val="nil"/>
        </w:pBdr>
        <w:ind w:firstLine="284"/>
        <w:jc w:val="both"/>
        <w:rPr>
          <w:color w:val="000000"/>
        </w:rPr>
      </w:pPr>
      <w:r>
        <w:rPr>
          <w:color w:val="000000"/>
        </w:rPr>
        <w:t>74. Hükümet ayrıca Anayasa Mahkemesi’nin 15 Temmuz darbe girişimi sonrasında tutuklanan yargı mensupları hakkında “suçüstü hali”</w:t>
      </w:r>
      <w:proofErr w:type="gramStart"/>
      <w:r>
        <w:rPr>
          <w:color w:val="000000"/>
        </w:rPr>
        <w:t>nin</w:t>
      </w:r>
      <w:proofErr w:type="gramEnd"/>
      <w:r>
        <w:rPr>
          <w:color w:val="000000"/>
        </w:rPr>
        <w:t xml:space="preserve"> varlığını kabul ederek ve ilgili hakimlerin, darbe girişimini önlemeye yönelik çalışmaların deva</w:t>
      </w:r>
      <w:r>
        <w:rPr>
          <w:color w:val="000000"/>
        </w:rPr>
        <w:t>m ettiği bir dönemde tutuklanmış olmalarını dikkate alarak, terör örgütü üyeliği suçunun</w:t>
      </w:r>
      <w:r>
        <w:t xml:space="preserve"> devam eden </w:t>
      </w:r>
      <w:r>
        <w:rPr>
          <w:color w:val="000000"/>
        </w:rPr>
        <w:t>niteliğinden ziyade darbe girişiminin kendisini temel referans noktası olarak aldığını vurgulamıştır.</w:t>
      </w:r>
    </w:p>
    <w:p w:rsidR="00380A26" w:rsidRDefault="0059142E">
      <w:pPr>
        <w:pBdr>
          <w:top w:val="nil"/>
          <w:left w:val="nil"/>
          <w:bottom w:val="nil"/>
          <w:right w:val="nil"/>
          <w:between w:val="nil"/>
        </w:pBdr>
        <w:ind w:firstLine="284"/>
        <w:jc w:val="both"/>
        <w:rPr>
          <w:color w:val="000000"/>
        </w:rPr>
      </w:pPr>
      <w:r>
        <w:rPr>
          <w:color w:val="000000"/>
        </w:rPr>
        <w:t>75.  Hükümet ayrıca ilgili uluslararası materyale atıf</w:t>
      </w:r>
      <w:r>
        <w:rPr>
          <w:color w:val="000000"/>
        </w:rPr>
        <w:t>ta bulunarak (bakınız yukarıda 44-45. paragraflar), hakim ve savcıların yargı makamı dışında işledikleri suçlardan dolayı diğer vatandaşlarla aynı şekilde ceza</w:t>
      </w:r>
      <w:r>
        <w:t xml:space="preserve">i </w:t>
      </w:r>
      <w:r>
        <w:rPr>
          <w:color w:val="000000"/>
        </w:rPr>
        <w:t>sorumluluğa sahip olduklarını kaydetmiştir. Bu bağlamda, başvuruculara isnat edilen suçun, yani</w:t>
      </w:r>
      <w:r>
        <w:rPr>
          <w:color w:val="000000"/>
        </w:rPr>
        <w:t xml:space="preserve"> silahlı terör örgütü üyeliğinin kişisel bir suç olduğunu ve resmi görevleri ile bağlantılı veya bu görevlerin yürütülmesi sırasında işlenen bir suç olarak </w:t>
      </w:r>
      <w:proofErr w:type="gramStart"/>
      <w:r>
        <w:rPr>
          <w:color w:val="000000"/>
        </w:rPr>
        <w:t>kabul</w:t>
      </w:r>
      <w:proofErr w:type="gramEnd"/>
      <w:r>
        <w:rPr>
          <w:color w:val="000000"/>
        </w:rPr>
        <w:t xml:space="preserve"> edilemeyeceğini ileri sürmüşlerdir. Bu iddiayı desteklemek için, karara konu sanığın da, resmi</w:t>
      </w:r>
      <w:r>
        <w:rPr>
          <w:color w:val="000000"/>
        </w:rPr>
        <w:t xml:space="preserve"> görevleri ile bağlantılı olarak </w:t>
      </w:r>
      <w:r>
        <w:rPr>
          <w:color w:val="000000"/>
        </w:rPr>
        <w:lastRenderedPageBreak/>
        <w:t>veya bu görevlerin yürütülmesi sırasında işlenmiş bir suç olarak incelenmediği, silahlı terör örgütüne üye olmakla suçlandığı (bakınız, bu kararla ilgili daha fazla bilgi için,</w:t>
      </w:r>
      <w:r>
        <w:rPr>
          <w:i/>
          <w:color w:val="000000"/>
        </w:rPr>
        <w:t xml:space="preserve"> Baş</w:t>
      </w:r>
      <w:r>
        <w:rPr>
          <w:color w:val="000000"/>
        </w:rPr>
        <w:t>, yukarıda anılan, § 137) Yargıtay Ceza Gen</w:t>
      </w:r>
      <w:r>
        <w:rPr>
          <w:color w:val="000000"/>
        </w:rPr>
        <w:t>el Kurulu tarafından 28 Eylül 2010'da verilen bir karara (E.2010/162 K.210/179) dayanmışlardır.</w:t>
      </w:r>
    </w:p>
    <w:p w:rsidR="00380A26" w:rsidRDefault="0059142E">
      <w:pPr>
        <w:pBdr>
          <w:top w:val="nil"/>
          <w:left w:val="nil"/>
          <w:bottom w:val="nil"/>
          <w:right w:val="nil"/>
          <w:between w:val="nil"/>
        </w:pBdr>
        <w:ind w:firstLine="284"/>
        <w:jc w:val="both"/>
        <w:rPr>
          <w:color w:val="000000"/>
        </w:rPr>
      </w:pPr>
      <w:proofErr w:type="gramStart"/>
      <w:r>
        <w:rPr>
          <w:color w:val="000000"/>
        </w:rPr>
        <w:t>76.</w:t>
      </w:r>
      <w:r>
        <w:t xml:space="preserve"> </w:t>
      </w:r>
      <w:r>
        <w:rPr>
          <w:color w:val="000000"/>
        </w:rPr>
        <w:t>Hükümet yukarıda belirtildiği gibi suçüstü hâli durumu söz konusu olmadıkça, 2797 ve 2575 sayılı Yargıtay ve Danıştay Üyelerine ilişkin Kanunlar ile Mahkeme</w:t>
      </w:r>
      <w:r>
        <w:rPr>
          <w:color w:val="000000"/>
        </w:rPr>
        <w:t xml:space="preserve"> tarafından </w:t>
      </w:r>
      <w:r>
        <w:rPr>
          <w:i/>
          <w:color w:val="000000"/>
        </w:rPr>
        <w:t>Alparslan Altan</w:t>
      </w:r>
      <w:r>
        <w:rPr>
          <w:color w:val="000000"/>
        </w:rPr>
        <w:t xml:space="preserve"> davasında özetlenmiş olan Anayasa Mahkemesi üyelerine ilişkin düzenleme getiren 6216 sayılı Kanun’un (yukarıda anılan, §§ 49 ve 106-107), resmi veya kişisel yetkiyle işlenen suçlar arasında ayrım yapmadıklarının ve ilgili kanunl</w:t>
      </w:r>
      <w:r>
        <w:rPr>
          <w:color w:val="000000"/>
        </w:rPr>
        <w:t>arda öngörülen özel prosedürlerin her iki durumda da uygulanacağının doğruluğunu kabul etmektedir.</w:t>
      </w:r>
      <w:proofErr w:type="gramEnd"/>
      <w:r>
        <w:rPr>
          <w:color w:val="000000"/>
        </w:rPr>
        <w:t xml:space="preserve"> Bununla birlikte, kişisel suçların olağan kanunun gereklerine uygun olarak ele alınmasını şart koşan 2802 sayılı Kanun’un 93. </w:t>
      </w:r>
      <w:proofErr w:type="gramStart"/>
      <w:r>
        <w:t>m</w:t>
      </w:r>
      <w:r>
        <w:rPr>
          <w:color w:val="000000"/>
        </w:rPr>
        <w:t>adde</w:t>
      </w:r>
      <w:r>
        <w:t>sine</w:t>
      </w:r>
      <w:proofErr w:type="gramEnd"/>
      <w:r>
        <w:t xml:space="preserve"> tabi  olan </w:t>
      </w:r>
      <w:r>
        <w:t>normal</w:t>
      </w:r>
      <w:r>
        <w:t xml:space="preserve"> hak</w:t>
      </w:r>
      <w:r>
        <w:t xml:space="preserve">im ve savcılar açısından durum farklı olmuştur. Yargıtay’ın ve Anayasa Mahkemesi'nin bu bağlamdaki tutumlarına dayanarak (bakınız, örneğin, </w:t>
      </w:r>
      <w:r>
        <w:rPr>
          <w:i/>
        </w:rPr>
        <w:t>Baş</w:t>
      </w:r>
      <w:r>
        <w:t xml:space="preserve">’ta yapılan referanslar, yukarıda anılan, § 137 ve </w:t>
      </w:r>
      <w:r>
        <w:rPr>
          <w:i/>
        </w:rPr>
        <w:t>Alparslan Altan</w:t>
      </w:r>
      <w:r>
        <w:t xml:space="preserve">, yukarıda anılan, § 94, sırasıyla ilgili mahkemelerin içtihatlarına yapılan atıflar; bakınız ayrıca yukarıda 32-43. paragraflarda belirtilen kararlar), Hükümet, Mahkeme'nin mevcut davada </w:t>
      </w:r>
      <w:r>
        <w:t>normal</w:t>
      </w:r>
      <w:r>
        <w:t xml:space="preserve"> </w:t>
      </w:r>
      <w:r>
        <w:t>hakim</w:t>
      </w:r>
      <w:r>
        <w:t xml:space="preserve"> ve savcılar hakkında suçüstü hâlinin söz konusu olmadığ</w:t>
      </w:r>
      <w:r>
        <w:t xml:space="preserve">ı sonucuna varması durumunda bile 2802 sayılı Kanun'un 93. </w:t>
      </w:r>
      <w:proofErr w:type="gramStart"/>
      <w:r>
        <w:t>maddesi</w:t>
      </w:r>
      <w:proofErr w:type="gramEnd"/>
      <w:r>
        <w:t xml:space="preserve"> anlamında kendilerine isnat edilen suçun "kişisel" niteliği nedeniyle tutuklanmaları olağan hukuk kurallarına tabi olacağını iddia etmektedir. Hükümet bu nedenle </w:t>
      </w:r>
      <w:r>
        <w:t>normal</w:t>
      </w:r>
      <w:r>
        <w:t xml:space="preserve"> </w:t>
      </w:r>
      <w:r>
        <w:t>hakim</w:t>
      </w:r>
      <w:r>
        <w:t xml:space="preserve"> ve sa</w:t>
      </w:r>
      <w:r>
        <w:rPr>
          <w:color w:val="000000"/>
        </w:rPr>
        <w:t>vcılar il</w:t>
      </w:r>
      <w:r>
        <w:rPr>
          <w:color w:val="000000"/>
        </w:rPr>
        <w:t xml:space="preserve">e Anayasa Mahkemesi üyelerine tanınan güvenceler arasındaki açık ayrım dikkate alınmadan Mahkeme’nin </w:t>
      </w:r>
      <w:r>
        <w:rPr>
          <w:i/>
          <w:color w:val="000000"/>
        </w:rPr>
        <w:t>Baş</w:t>
      </w:r>
      <w:r>
        <w:rPr>
          <w:color w:val="000000"/>
        </w:rPr>
        <w:t xml:space="preserve"> kararında (yukarıda anılan) daha önce </w:t>
      </w:r>
      <w:r>
        <w:rPr>
          <w:i/>
          <w:color w:val="000000"/>
        </w:rPr>
        <w:t>Alparslan Altan</w:t>
      </w:r>
      <w:r>
        <w:rPr>
          <w:color w:val="000000"/>
        </w:rPr>
        <w:t xml:space="preserve"> kararında (yukarıda anılan) vardığı sonuçlara dayanmasının hukuken hatalı olduğunu savunmaktadır.</w:t>
      </w:r>
    </w:p>
    <w:p w:rsidR="00380A26" w:rsidRDefault="0059142E">
      <w:pPr>
        <w:pBdr>
          <w:top w:val="nil"/>
          <w:left w:val="nil"/>
          <w:bottom w:val="nil"/>
          <w:right w:val="nil"/>
          <w:between w:val="nil"/>
        </w:pBdr>
        <w:ind w:firstLine="284"/>
        <w:jc w:val="both"/>
        <w:rPr>
          <w:color w:val="000000"/>
        </w:rPr>
      </w:pPr>
      <w:r>
        <w:rPr>
          <w:color w:val="000000"/>
        </w:rPr>
        <w:t>77.  Bu konuda Hükümet ayrıca HSYK'nın 16 Temmuz 2016 ve sonrasında bu hakim ve savcıların görevden uzaklaştırılmasına ilişkin kararlarının</w:t>
      </w:r>
      <w:r>
        <w:t xml:space="preserve"> bizzat bir başına</w:t>
      </w:r>
      <w:r>
        <w:rPr>
          <w:color w:val="000000"/>
        </w:rPr>
        <w:t xml:space="preserve"> görev suçu nedeniyle ceza soruşturması açılması</w:t>
      </w:r>
      <w:r>
        <w:t>na yol vermeye eşdeğer olmadığını,</w:t>
      </w:r>
      <w:r>
        <w:rPr>
          <w:color w:val="000000"/>
        </w:rPr>
        <w:t xml:space="preserve"> bu kararların d</w:t>
      </w:r>
      <w:r>
        <w:rPr>
          <w:color w:val="000000"/>
        </w:rPr>
        <w:t>aha çok Ankara Cumhuriyet Başsavcılığınca re’sen (</w:t>
      </w:r>
      <w:r>
        <w:rPr>
          <w:i/>
          <w:color w:val="000000"/>
        </w:rPr>
        <w:t>ex proprio motu</w:t>
      </w:r>
      <w:r>
        <w:rPr>
          <w:color w:val="000000"/>
        </w:rPr>
        <w:t>) başlatılan ceza soruşturmasının ardından HSYK tarafından başlatılan disiplin soruşturmalarına ilişkin olduğunu vurgulamıştır.</w:t>
      </w:r>
    </w:p>
    <w:p w:rsidR="00380A26" w:rsidRDefault="0059142E">
      <w:pPr>
        <w:pBdr>
          <w:top w:val="nil"/>
          <w:left w:val="nil"/>
          <w:bottom w:val="nil"/>
          <w:right w:val="nil"/>
          <w:between w:val="nil"/>
        </w:pBdr>
        <w:ind w:firstLine="284"/>
        <w:jc w:val="both"/>
        <w:rPr>
          <w:color w:val="000000"/>
        </w:rPr>
      </w:pPr>
      <w:r>
        <w:rPr>
          <w:color w:val="000000"/>
        </w:rPr>
        <w:t>78. Hükümet son olarak, başvuruculara atfedilen - silahlı terör</w:t>
      </w:r>
      <w:r>
        <w:rPr>
          <w:color w:val="000000"/>
        </w:rPr>
        <w:t xml:space="preserve"> örgütü üyeliği suçu da dahil olmak üzere - belirli suçlara ilişkin soruşturmaların, ilgili suç resmi görevlerle bağlantılı olarak veya bu görevlerin yürütülmesi sırasında işlenmiş olsa bile, genel hükümler uyarınca doğrudan Cumhuriyet savcısı tarafından y</w:t>
      </w:r>
      <w:r>
        <w:rPr>
          <w:color w:val="000000"/>
        </w:rPr>
        <w:t>ürütülmesi</w:t>
      </w:r>
      <w:r>
        <w:t>ni öngören</w:t>
      </w:r>
      <w:r w:rsidR="00730CCC">
        <w:rPr>
          <w:color w:val="000000"/>
        </w:rPr>
        <w:t xml:space="preserve"> </w:t>
      </w:r>
      <w:proofErr w:type="gramStart"/>
      <w:r w:rsidR="00730CCC">
        <w:rPr>
          <w:color w:val="000000"/>
        </w:rPr>
        <w:t>CMK'nın</w:t>
      </w:r>
      <w:proofErr w:type="gramEnd"/>
      <w:r w:rsidR="00730CCC">
        <w:rPr>
          <w:color w:val="000000"/>
        </w:rPr>
        <w:t xml:space="preserve"> 161. </w:t>
      </w:r>
      <w:proofErr w:type="gramStart"/>
      <w:r w:rsidR="00730CCC">
        <w:rPr>
          <w:color w:val="000000"/>
        </w:rPr>
        <w:t>maddesinin</w:t>
      </w:r>
      <w:proofErr w:type="gramEnd"/>
      <w:r w:rsidR="00730CCC">
        <w:rPr>
          <w:color w:val="000000"/>
        </w:rPr>
        <w:t xml:space="preserve"> </w:t>
      </w:r>
      <w:r>
        <w:rPr>
          <w:color w:val="000000"/>
        </w:rPr>
        <w:t xml:space="preserve">8. </w:t>
      </w:r>
      <w:proofErr w:type="gramStart"/>
      <w:r>
        <w:rPr>
          <w:color w:val="000000"/>
        </w:rPr>
        <w:t>fıkrasının</w:t>
      </w:r>
      <w:proofErr w:type="gramEnd"/>
      <w:r>
        <w:rPr>
          <w:color w:val="000000"/>
        </w:rPr>
        <w:t xml:space="preserve"> da dikkate alınması gerektiğini iddia etmiştir. Ba</w:t>
      </w:r>
      <w:r w:rsidR="00730CCC">
        <w:rPr>
          <w:color w:val="000000"/>
        </w:rPr>
        <w:t xml:space="preserve">şka bir deyişle, 161. </w:t>
      </w:r>
      <w:proofErr w:type="gramStart"/>
      <w:r w:rsidR="00730CCC">
        <w:rPr>
          <w:color w:val="000000"/>
        </w:rPr>
        <w:t>maddenin</w:t>
      </w:r>
      <w:proofErr w:type="gramEnd"/>
      <w:r w:rsidR="00730CCC">
        <w:rPr>
          <w:color w:val="000000"/>
        </w:rPr>
        <w:t xml:space="preserve"> </w:t>
      </w:r>
      <w:r>
        <w:rPr>
          <w:color w:val="000000"/>
        </w:rPr>
        <w:t xml:space="preserve">8. </w:t>
      </w:r>
      <w:proofErr w:type="gramStart"/>
      <w:r>
        <w:rPr>
          <w:color w:val="000000"/>
        </w:rPr>
        <w:t>fıkrası</w:t>
      </w:r>
      <w:proofErr w:type="gramEnd"/>
      <w:r>
        <w:rPr>
          <w:color w:val="000000"/>
        </w:rPr>
        <w:t>, hakim ve savcılara çeşitli yasalarla tanınan özel usuli güvencelerin uygulanmasını engelleyecektir.</w:t>
      </w:r>
    </w:p>
    <w:p w:rsidR="00380A26" w:rsidRDefault="0059142E">
      <w:pPr>
        <w:keepNext/>
        <w:keepLines/>
        <w:numPr>
          <w:ilvl w:val="3"/>
          <w:numId w:val="4"/>
        </w:numPr>
        <w:pBdr>
          <w:top w:val="nil"/>
          <w:left w:val="nil"/>
          <w:bottom w:val="nil"/>
          <w:right w:val="nil"/>
          <w:between w:val="nil"/>
        </w:pBdr>
        <w:spacing w:before="100" w:after="120"/>
        <w:jc w:val="both"/>
      </w:pPr>
      <w:r>
        <w:rPr>
          <w:i/>
          <w:color w:val="000000"/>
        </w:rPr>
        <w:lastRenderedPageBreak/>
        <w:t>Mahkeme’nin değerlendirmesi</w:t>
      </w:r>
    </w:p>
    <w:p w:rsidR="00380A26" w:rsidRDefault="0059142E">
      <w:pPr>
        <w:pBdr>
          <w:top w:val="nil"/>
          <w:left w:val="nil"/>
          <w:bottom w:val="nil"/>
          <w:right w:val="nil"/>
          <w:between w:val="nil"/>
        </w:pBdr>
        <w:ind w:firstLine="284"/>
        <w:jc w:val="both"/>
        <w:rPr>
          <w:color w:val="000000"/>
        </w:rPr>
      </w:pPr>
      <w:r>
        <w:rPr>
          <w:color w:val="000000"/>
        </w:rPr>
        <w:t xml:space="preserve">79. Mahkeme, en başta,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kapsamında özgürlük ve güvenlik hakkıyla ilgili içtihadında tesis edilen ilgili ilkelere atıfta bulunmaktadır (bakınız, örneğin, </w:t>
      </w:r>
      <w:r>
        <w:rPr>
          <w:i/>
          <w:color w:val="000000"/>
        </w:rPr>
        <w:t>Alparslan Altan</w:t>
      </w:r>
      <w:r>
        <w:rPr>
          <w:color w:val="000000"/>
        </w:rPr>
        <w:t>, yukarıda anılan, §§ 9</w:t>
      </w:r>
      <w:r>
        <w:rPr>
          <w:color w:val="000000"/>
        </w:rPr>
        <w:t xml:space="preserve">9-103 ve </w:t>
      </w:r>
      <w:r>
        <w:rPr>
          <w:i/>
          <w:color w:val="000000"/>
        </w:rPr>
        <w:t>Baş</w:t>
      </w:r>
      <w:r>
        <w:rPr>
          <w:color w:val="000000"/>
        </w:rPr>
        <w:t>, yukarıda anılan, § 143 ve burada anılan davalar).</w:t>
      </w:r>
    </w:p>
    <w:p w:rsidR="00380A26" w:rsidRDefault="0059142E">
      <w:pPr>
        <w:pBdr>
          <w:top w:val="nil"/>
          <w:left w:val="nil"/>
          <w:bottom w:val="nil"/>
          <w:right w:val="nil"/>
          <w:between w:val="nil"/>
        </w:pBdr>
        <w:ind w:firstLine="284"/>
        <w:jc w:val="both"/>
        <w:rPr>
          <w:color w:val="000000"/>
        </w:rPr>
      </w:pPr>
      <w:bookmarkStart w:id="23" w:name="_heading=h.19c6y18" w:colFirst="0" w:colLast="0"/>
      <w:bookmarkEnd w:id="23"/>
      <w:r>
        <w:rPr>
          <w:color w:val="000000"/>
        </w:rPr>
        <w:t>80. Mahkeme “yasanın öngördüğü bir usulün” izlenip izlenmediği de dahil olmak üzere, tutuklamanın “</w:t>
      </w:r>
      <w:r>
        <w:t>kanuniliği</w:t>
      </w:r>
      <w:r>
        <w:rPr>
          <w:color w:val="000000"/>
        </w:rPr>
        <w:t xml:space="preserve">” söz konusu olduğunda, </w:t>
      </w:r>
      <w:proofErr w:type="gramStart"/>
      <w:r>
        <w:rPr>
          <w:color w:val="000000"/>
        </w:rPr>
        <w:t>Sözleşme’nin</w:t>
      </w:r>
      <w:proofErr w:type="gramEnd"/>
      <w:r>
        <w:rPr>
          <w:color w:val="000000"/>
        </w:rPr>
        <w:t xml:space="preserve"> esas olarak ulusal hukuka atıfta bulunduğunu v</w:t>
      </w:r>
      <w:r>
        <w:rPr>
          <w:color w:val="000000"/>
        </w:rPr>
        <w:t xml:space="preserve">e bu hukukun maddi ve usuli kurallarına uyma yükümlülüğünü ortaya koyduğunu özellikle hatırlatmaktadır. Bu, öncelikle herhangi bir gözaltına </w:t>
      </w:r>
      <w:proofErr w:type="gramStart"/>
      <w:r>
        <w:rPr>
          <w:color w:val="000000"/>
        </w:rPr>
        <w:t>alma</w:t>
      </w:r>
      <w:proofErr w:type="gramEnd"/>
      <w:r>
        <w:rPr>
          <w:color w:val="000000"/>
        </w:rPr>
        <w:t xml:space="preserve"> veya tutuklamanın iç hukukta yasal bir temele sahip olmasını gerektirmektedir. Bununla birlikte, ulusal hukuka</w:t>
      </w:r>
      <w:r w:rsidR="00730CCC">
        <w:rPr>
          <w:color w:val="000000"/>
        </w:rPr>
        <w:t xml:space="preserve"> uygunluk yeterli değildir: </w:t>
      </w:r>
      <w:proofErr w:type="gramStart"/>
      <w:r w:rsidR="00730CCC">
        <w:rPr>
          <w:color w:val="000000"/>
        </w:rPr>
        <w:t xml:space="preserve">5. </w:t>
      </w:r>
      <w:r>
        <w:rPr>
          <w:color w:val="000000"/>
        </w:rPr>
        <w:t>maddenin</w:t>
      </w:r>
      <w:proofErr w:type="gramEnd"/>
      <w:r>
        <w:rPr>
          <w:color w:val="000000"/>
        </w:rPr>
        <w:t xml:space="preserve"> 1. </w:t>
      </w:r>
      <w:proofErr w:type="gramStart"/>
      <w:r>
        <w:rPr>
          <w:color w:val="000000"/>
        </w:rPr>
        <w:t>fıkrası</w:t>
      </w:r>
      <w:proofErr w:type="gramEnd"/>
      <w:r>
        <w:rPr>
          <w:color w:val="000000"/>
        </w:rPr>
        <w:t xml:space="preserve"> ayrıca, herhangi bir özgürlükten yoksun bırakmanın, bireyi keyfilikten koruma amacına uygun olmasını gerektirmektedir. Mahkeme ayrıca, bu bağlamda, özellikle hukuki belirlilik ilkesi olmak üzere, burada if</w:t>
      </w:r>
      <w:r>
        <w:rPr>
          <w:color w:val="000000"/>
        </w:rPr>
        <w:t xml:space="preserve">ade edilen veya işaret edilen genel ilkeler de dahil olmak üzere, iç hukukun kendisinin Sözleşme ile uyumlu olup olmadığını tespit etmelidir (bakınız </w:t>
      </w:r>
      <w:r>
        <w:rPr>
          <w:i/>
          <w:color w:val="000000"/>
        </w:rPr>
        <w:t>Mooren v. Almanya</w:t>
      </w:r>
      <w:r>
        <w:rPr>
          <w:color w:val="000000"/>
        </w:rPr>
        <w:t xml:space="preserve"> [BD], no. 11364/03, § 72, 9 Temmuz 2009, ilave referanslarla).</w:t>
      </w:r>
    </w:p>
    <w:p w:rsidR="00380A26" w:rsidRDefault="0059142E">
      <w:pPr>
        <w:pBdr>
          <w:top w:val="nil"/>
          <w:left w:val="nil"/>
          <w:bottom w:val="nil"/>
          <w:right w:val="nil"/>
          <w:between w:val="nil"/>
        </w:pBdr>
        <w:ind w:firstLine="284"/>
        <w:jc w:val="both"/>
        <w:rPr>
          <w:color w:val="000000"/>
        </w:rPr>
      </w:pPr>
      <w:bookmarkStart w:id="24" w:name="_heading=h.3tbugp1" w:colFirst="0" w:colLast="0"/>
      <w:bookmarkEnd w:id="24"/>
      <w:r>
        <w:rPr>
          <w:color w:val="000000"/>
        </w:rPr>
        <w:t>81. Bu son konuda Mahkeme</w:t>
      </w:r>
      <w:r>
        <w:rPr>
          <w:color w:val="000000"/>
        </w:rPr>
        <w:t xml:space="preserve">, özgürlükten yoksun bırakma söz konusu olduğunda, genel hukuki belirlilik ilkesinin yerine getirilmesinin özellikle önemli olduğunu vurgulamaktadır. </w:t>
      </w:r>
      <w:proofErr w:type="gramStart"/>
      <w:r>
        <w:rPr>
          <w:color w:val="000000"/>
        </w:rPr>
        <w:t>Bu nedenle tüm yasaların, kişinin - gerekirse, uygun bir tavsiyeyle - belirli bir eylemin gerektirebileceğ</w:t>
      </w:r>
      <w:r>
        <w:rPr>
          <w:color w:val="000000"/>
        </w:rPr>
        <w:t>i sonuçları koşullara göre makul bir dereceye kadar öngörmesine izin vermek için yeterince kesin olmasını gerektiren bir standart olan Sözleşme tarafından belirlenen “kanunilik” standardını karşılaması için iç hukukta özgürlükten yoksun bırakma koşullarını</w:t>
      </w:r>
      <w:r>
        <w:rPr>
          <w:color w:val="000000"/>
        </w:rPr>
        <w:t xml:space="preserve">n açıkça tanımlanması ve yasanın kendisinin uygulamada öngörülebilir olması hayati önem taşımaktadır (bakınız, örneğin, </w:t>
      </w:r>
      <w:r>
        <w:rPr>
          <w:i/>
          <w:color w:val="000000"/>
        </w:rPr>
        <w:t xml:space="preserve">Khlaifa ve diğerleri v. İtalya </w:t>
      </w:r>
      <w:r>
        <w:rPr>
          <w:color w:val="000000"/>
        </w:rPr>
        <w:t>[BD], no. 16483/12, § 92, 15 Aralık 2016 ve burada belirtilen davalar).</w:t>
      </w:r>
      <w:proofErr w:type="gramEnd"/>
    </w:p>
    <w:p w:rsidR="00380A26" w:rsidRDefault="0059142E">
      <w:pPr>
        <w:pBdr>
          <w:top w:val="nil"/>
          <w:left w:val="nil"/>
          <w:bottom w:val="nil"/>
          <w:right w:val="nil"/>
          <w:between w:val="nil"/>
        </w:pBdr>
        <w:ind w:firstLine="284"/>
        <w:jc w:val="both"/>
        <w:rPr>
          <w:color w:val="000000"/>
        </w:rPr>
      </w:pPr>
      <w:bookmarkStart w:id="25" w:name="_heading=h.28h4qwu" w:colFirst="0" w:colLast="0"/>
      <w:bookmarkEnd w:id="25"/>
      <w:r>
        <w:rPr>
          <w:color w:val="000000"/>
        </w:rPr>
        <w:t>82. Mahkeme hukukun üstünlüğü ile yönetilen bir Devletin temel değeri, adaletin garantörü olarak yargının toplumdaki özel rolünün, görevlerini yerine getirmede başarılı olacaksa kamu</w:t>
      </w:r>
      <w:r>
        <w:t>nun itimadına</w:t>
      </w:r>
      <w:r>
        <w:rPr>
          <w:color w:val="000000"/>
        </w:rPr>
        <w:t xml:space="preserve"> sahip olması gerektiğini birçok kez vurguladığını not etmekt</w:t>
      </w:r>
      <w:r>
        <w:rPr>
          <w:color w:val="000000"/>
        </w:rPr>
        <w:t xml:space="preserve">edir (bakınız </w:t>
      </w:r>
      <w:r>
        <w:rPr>
          <w:i/>
          <w:color w:val="000000"/>
        </w:rPr>
        <w:t>Baka v. Macaristan</w:t>
      </w:r>
      <w:r>
        <w:rPr>
          <w:color w:val="000000"/>
        </w:rPr>
        <w:t xml:space="preserve"> [BD], no. 20261/12, § 164, 23 Haziran 2016, buradaki diğer referanslar). Özellikle yargıçların ifade özgürlüğü haklarıyla ilgili davalarda ortaya konan bu değerlendirme, bir yargı mensubunun özgürlük hakkını etkileyen bir t</w:t>
      </w:r>
      <w:r>
        <w:rPr>
          <w:color w:val="000000"/>
        </w:rPr>
        <w:t xml:space="preserve">edbirin kabulüyle ilgili olarak da aynı derecede geçerlidir. </w:t>
      </w:r>
      <w:proofErr w:type="gramStart"/>
      <w:r>
        <w:rPr>
          <w:color w:val="000000"/>
        </w:rPr>
        <w:t>Bilhassa,</w:t>
      </w:r>
      <w:proofErr w:type="gramEnd"/>
      <w:r>
        <w:rPr>
          <w:color w:val="000000"/>
        </w:rPr>
        <w:t xml:space="preserve"> iç hukukun, yargı mensuplarına görevlerini bağımsız bir şekilde yerine getirmelerini güvence altına almak için yargısal koruma sağladığı durumlarda, bu tür düzenlemelere gerektiği gibi </w:t>
      </w:r>
      <w:r>
        <w:rPr>
          <w:color w:val="000000"/>
        </w:rPr>
        <w:t xml:space="preserve">uyulması esastır. </w:t>
      </w:r>
      <w:proofErr w:type="gramStart"/>
      <w:r>
        <w:rPr>
          <w:color w:val="000000"/>
        </w:rPr>
        <w:t xml:space="preserve">Demokratik bir toplumda, yargının devlet organları arasında önemli bir yere sahip olması ve kuvvetler ayrılığına verilen önemin artması ve yargının bağımsızlığının korunması gerekliliği dikkate alındığında (bakınız </w:t>
      </w:r>
      <w:r>
        <w:rPr>
          <w:i/>
          <w:color w:val="000000"/>
        </w:rPr>
        <w:t>Ramos Nunes de Carvalho</w:t>
      </w:r>
      <w:r>
        <w:rPr>
          <w:i/>
          <w:color w:val="000000"/>
        </w:rPr>
        <w:t xml:space="preserve"> e Sá v. Portekiz</w:t>
      </w:r>
      <w:r>
        <w:rPr>
          <w:color w:val="000000"/>
        </w:rPr>
        <w:t xml:space="preserve"> [BD], no. 55391/13 ve diğer 2 karar, § 196, 6 Kasım 2018) Mahkeme, bir tutuklama emrinin uygulanma şeklini </w:t>
      </w:r>
      <w:r>
        <w:rPr>
          <w:color w:val="000000"/>
        </w:rPr>
        <w:lastRenderedPageBreak/>
        <w:t xml:space="preserve">Sözleşme hükümleri açısından incelerken yargı mensuplarının korunmasına özellikle dikkat etmelidir (bakınız </w:t>
      </w:r>
      <w:r>
        <w:rPr>
          <w:i/>
          <w:color w:val="000000"/>
        </w:rPr>
        <w:t>Alparslan Altan</w:t>
      </w:r>
      <w:r>
        <w:rPr>
          <w:color w:val="000000"/>
        </w:rPr>
        <w:t>, yukarı</w:t>
      </w:r>
      <w:r>
        <w:rPr>
          <w:color w:val="000000"/>
        </w:rPr>
        <w:t xml:space="preserve">da anılan, § 102 ve </w:t>
      </w:r>
      <w:r>
        <w:rPr>
          <w:i/>
          <w:color w:val="000000"/>
        </w:rPr>
        <w:t>Baş</w:t>
      </w:r>
      <w:r>
        <w:rPr>
          <w:color w:val="000000"/>
        </w:rPr>
        <w:t>, yukarıda anılan § 144).</w:t>
      </w:r>
      <w:proofErr w:type="gramEnd"/>
    </w:p>
    <w:p w:rsidR="00380A26" w:rsidRDefault="0059142E">
      <w:pPr>
        <w:pBdr>
          <w:top w:val="nil"/>
          <w:left w:val="nil"/>
          <w:bottom w:val="nil"/>
          <w:right w:val="nil"/>
          <w:between w:val="nil"/>
        </w:pBdr>
        <w:ind w:firstLine="284"/>
        <w:jc w:val="both"/>
        <w:rPr>
          <w:color w:val="000000"/>
        </w:rPr>
      </w:pPr>
      <w:r>
        <w:rPr>
          <w:color w:val="000000"/>
        </w:rPr>
        <w:t xml:space="preserve">83.  Mevcut davanın özel koşullarına dönülecek olunursa, Mahkeme, başvurucuların hepsinin gözaltına alındığı ve </w:t>
      </w:r>
      <w:r>
        <w:t xml:space="preserve">olağan </w:t>
      </w:r>
      <w:r>
        <w:rPr>
          <w:color w:val="000000"/>
        </w:rPr>
        <w:t xml:space="preserve">hukuk kuralları uyarınca, daha spesifik olarak </w:t>
      </w:r>
      <w:proofErr w:type="gramStart"/>
      <w:r>
        <w:rPr>
          <w:color w:val="000000"/>
        </w:rPr>
        <w:t>CMK'nın</w:t>
      </w:r>
      <w:proofErr w:type="gramEnd"/>
      <w:r>
        <w:rPr>
          <w:color w:val="000000"/>
        </w:rPr>
        <w:t xml:space="preserve"> 100 ve devamı maddelerine dayanıl</w:t>
      </w:r>
      <w:r>
        <w:rPr>
          <w:color w:val="000000"/>
        </w:rPr>
        <w:t>arak, tutuklandıkları konusunda taraflar arasında bir ihtilaf söz konusu olmadığını not etmektedir. Ancak taraflar – olaylar sırasında özel bir statüye sahip olan hâkim ve savcılar olan – başvurucuların olağan hukuk kuralları çerçevesinde ilk tutukluluklar</w:t>
      </w:r>
      <w:r>
        <w:rPr>
          <w:color w:val="000000"/>
        </w:rPr>
        <w:t xml:space="preserve">ının </w:t>
      </w:r>
      <w:r>
        <w:t>“hukukun niteliği”</w:t>
      </w:r>
      <w:r>
        <w:rPr>
          <w:color w:val="000000"/>
        </w:rPr>
        <w:t xml:space="preserve"> şartını karşılayıp karşılamadığı konusunda görüş ayrılığına düşmektedir. </w:t>
      </w:r>
      <w:r>
        <w:t>Normal</w:t>
      </w:r>
      <w:r>
        <w:t xml:space="preserve"> </w:t>
      </w:r>
      <w:r>
        <w:rPr>
          <w:color w:val="000000"/>
        </w:rPr>
        <w:t xml:space="preserve">hakim ve savcılar ile yüksek mahkeme üyelerine uygulanan farklı yasal düzenlemeleri dikkate alarak, Mahkeme bu soruyu her grup için sırasıyla ayrı ayrı </w:t>
      </w:r>
      <w:r>
        <w:rPr>
          <w:color w:val="000000"/>
        </w:rPr>
        <w:t>ele alacaktır.</w:t>
      </w:r>
    </w:p>
    <w:p w:rsidR="00380A26" w:rsidRDefault="0059142E">
      <w:pPr>
        <w:keepNext/>
        <w:keepLines/>
        <w:numPr>
          <w:ilvl w:val="4"/>
          <w:numId w:val="4"/>
        </w:numPr>
        <w:pBdr>
          <w:top w:val="nil"/>
          <w:left w:val="nil"/>
          <w:bottom w:val="nil"/>
          <w:right w:val="nil"/>
          <w:between w:val="nil"/>
        </w:pBdr>
        <w:spacing w:before="100" w:after="120"/>
        <w:jc w:val="both"/>
      </w:pPr>
      <w:r>
        <w:rPr>
          <w:b/>
          <w:color w:val="000000"/>
          <w:sz w:val="20"/>
          <w:szCs w:val="20"/>
        </w:rPr>
        <w:t>2802 Sayılı Kanuna Tabi Hakim ve Savcılar</w:t>
      </w:r>
    </w:p>
    <w:p w:rsidR="00380A26" w:rsidRDefault="0059142E">
      <w:pPr>
        <w:pBdr>
          <w:top w:val="nil"/>
          <w:left w:val="nil"/>
          <w:bottom w:val="nil"/>
          <w:right w:val="nil"/>
          <w:between w:val="nil"/>
        </w:pBdr>
        <w:ind w:firstLine="284"/>
        <w:jc w:val="both"/>
        <w:rPr>
          <w:color w:val="000000"/>
        </w:rPr>
      </w:pPr>
      <w:r>
        <w:rPr>
          <w:color w:val="000000"/>
        </w:rPr>
        <w:t xml:space="preserve">84. Mahkeme, yukarıda belirtildiği gibi, söz konusu zamanda hakim veya savcı olarak statülerinden ileri gelen özel usuli güvencelere rağmen, başvurucuların 2802 sayılı Kanun'un 94. </w:t>
      </w:r>
      <w:proofErr w:type="gramStart"/>
      <w:r>
        <w:rPr>
          <w:color w:val="000000"/>
        </w:rPr>
        <w:t>maddesi</w:t>
      </w:r>
      <w:proofErr w:type="gramEnd"/>
      <w:r>
        <w:rPr>
          <w:color w:val="000000"/>
        </w:rPr>
        <w:t xml:space="preserve"> uyarınca s</w:t>
      </w:r>
      <w:r>
        <w:rPr>
          <w:color w:val="000000"/>
        </w:rPr>
        <w:t xml:space="preserve">uçüstü yakalandıkları kabul edildikleri için </w:t>
      </w:r>
      <w:r>
        <w:t xml:space="preserve">olağan hukuka göre tutuklandıklarına işaret etmektedir.  Mahkeme ayrıca, 2802 sayılı Kanun’a tabi </w:t>
      </w:r>
      <w:r>
        <w:t xml:space="preserve">normal </w:t>
      </w:r>
      <w:r>
        <w:t xml:space="preserve">bir </w:t>
      </w:r>
      <w:r>
        <w:t xml:space="preserve">yargı mensubunun </w:t>
      </w:r>
      <w:r>
        <w:t>tutukluluk halinin özel bağlamında “suçüstü hali” kavramının uygulanmasının, halihazı</w:t>
      </w:r>
      <w:r>
        <w:t>rda bu kavramın, ul</w:t>
      </w:r>
      <w:r>
        <w:rPr>
          <w:color w:val="000000"/>
        </w:rPr>
        <w:t xml:space="preserve">usal mahkemeler tarafından Sözleşme'nin gereklerine uygun olmayan </w:t>
      </w:r>
      <w:r>
        <w:t xml:space="preserve">genişletilmiş </w:t>
      </w:r>
      <w:r>
        <w:rPr>
          <w:color w:val="000000"/>
        </w:rPr>
        <w:t xml:space="preserve">bir şekilde yorumlandığını tespit ettiği  (yukarıda anılan, §§ 145-162) </w:t>
      </w:r>
      <w:r>
        <w:rPr>
          <w:i/>
          <w:color w:val="000000"/>
        </w:rPr>
        <w:t>Baş</w:t>
      </w:r>
      <w:r>
        <w:rPr>
          <w:color w:val="000000"/>
        </w:rPr>
        <w:t xml:space="preserve"> davasında, 5. </w:t>
      </w:r>
      <w:proofErr w:type="gramStart"/>
      <w:r>
        <w:rPr>
          <w:color w:val="000000"/>
        </w:rPr>
        <w:t>maddenin</w:t>
      </w:r>
      <w:proofErr w:type="gramEnd"/>
      <w:r>
        <w:rPr>
          <w:color w:val="000000"/>
        </w:rPr>
        <w:t xml:space="preserve"> 1. </w:t>
      </w:r>
      <w:proofErr w:type="gramStart"/>
      <w:r>
        <w:rPr>
          <w:color w:val="000000"/>
        </w:rPr>
        <w:t>fıkrasının</w:t>
      </w:r>
      <w:proofErr w:type="gramEnd"/>
      <w:r>
        <w:rPr>
          <w:color w:val="000000"/>
        </w:rPr>
        <w:t xml:space="preserve"> ihlal edildiğine ilişkin bir karara yol açtı</w:t>
      </w:r>
      <w:r>
        <w:rPr>
          <w:color w:val="000000"/>
        </w:rPr>
        <w:t>ğını kaydetmektedir. Tarafların beyanları ile Yargıtay’ın ve Anayasa Mahkemesi’nin bu konudaki son kararlarını (bakınız yukarıda 32-43. paragraflar) inceleyen Mahkeme, Baş davasında (yukarıda anılan §§ 145-162) tespitlerinden ayrılmak için bir neden görmem</w:t>
      </w:r>
      <w:r>
        <w:rPr>
          <w:color w:val="000000"/>
        </w:rPr>
        <w:t>ektedir.</w:t>
      </w:r>
    </w:p>
    <w:p w:rsidR="00380A26" w:rsidRDefault="0059142E">
      <w:pPr>
        <w:pBdr>
          <w:top w:val="nil"/>
          <w:left w:val="nil"/>
          <w:bottom w:val="nil"/>
          <w:right w:val="nil"/>
          <w:between w:val="nil"/>
        </w:pBdr>
        <w:ind w:firstLine="284"/>
        <w:jc w:val="both"/>
        <w:rPr>
          <w:color w:val="000000"/>
        </w:rPr>
      </w:pPr>
      <w:bookmarkStart w:id="26" w:name="_heading=h.37m2jsg" w:colFirst="0" w:colLast="0"/>
      <w:bookmarkEnd w:id="26"/>
      <w:r>
        <w:rPr>
          <w:color w:val="000000"/>
        </w:rPr>
        <w:t>85. Mahkeme, Hükümet’in de işaret ettiği gibi, mevcut koşullar içinde “suçüstü hali”</w:t>
      </w:r>
      <w:proofErr w:type="gramStart"/>
      <w:r>
        <w:rPr>
          <w:color w:val="000000"/>
        </w:rPr>
        <w:t>nin</w:t>
      </w:r>
      <w:proofErr w:type="gramEnd"/>
      <w:r>
        <w:rPr>
          <w:color w:val="000000"/>
        </w:rPr>
        <w:t xml:space="preserve"> varlığını kabul eden Anayasa Mahkemesi</w:t>
      </w:r>
      <w:r>
        <w:t>nce</w:t>
      </w:r>
      <w:r>
        <w:rPr>
          <w:color w:val="000000"/>
        </w:rPr>
        <w:t>, Yargıtay'ın izlediğinden biraz farklı bir yaklaşım benimsediğin</w:t>
      </w:r>
      <w:r>
        <w:t>i</w:t>
      </w:r>
      <w:r>
        <w:rPr>
          <w:color w:val="000000"/>
        </w:rPr>
        <w:t xml:space="preserve"> işaret etmektedir (bakınız </w:t>
      </w:r>
      <w:r>
        <w:rPr>
          <w:i/>
          <w:color w:val="000000"/>
        </w:rPr>
        <w:t>Baş</w:t>
      </w:r>
      <w:r>
        <w:rPr>
          <w:color w:val="000000"/>
        </w:rPr>
        <w:t xml:space="preserve">, yukarıda anılan, Yargıtay'ın yaklaşımının ayrıntılı bir incelemesi için §§ 150-156). Daha ayrıntılı olarak, Anayasa Mahkemesi, ilgili yargı mensuplarının gözaltına alındığı olgusal bağlam göz önüne alındığında, terör örgütü üyeliği suçunun </w:t>
      </w:r>
      <w:r>
        <w:t xml:space="preserve">devam </w:t>
      </w:r>
      <w:proofErr w:type="gramStart"/>
      <w:r>
        <w:t>eden</w:t>
      </w:r>
      <w:proofErr w:type="gramEnd"/>
      <w:r>
        <w:t xml:space="preserve"> </w:t>
      </w:r>
      <w:r>
        <w:rPr>
          <w:color w:val="000000"/>
        </w:rPr>
        <w:t>nit</w:t>
      </w:r>
      <w:r>
        <w:rPr>
          <w:color w:val="000000"/>
        </w:rPr>
        <w:t>eliğine dayanmak yerine darbe girişimini temel referans noktası olarak almıştır (bakınız yukarıda 39. paragraf; ayrıca bakınız Hükümet’in yukarıda 74. paragrafta belirtilen argümanı). Anayasa Mahkemesi’ne göre, başvurucuların ve darbe girişimi sonrasında y</w:t>
      </w:r>
      <w:r>
        <w:rPr>
          <w:color w:val="000000"/>
        </w:rPr>
        <w:t xml:space="preserve">akalanan tüm yargı mensuplarının, yalnızca bu girişimin arkasındaki terör örgütü ile iddia edilen örgütsel bağları nedeniyle suçüstü yakalandıkları </w:t>
      </w:r>
      <w:proofErr w:type="gramStart"/>
      <w:r>
        <w:rPr>
          <w:color w:val="000000"/>
        </w:rPr>
        <w:t>kabul</w:t>
      </w:r>
      <w:proofErr w:type="gramEnd"/>
      <w:r>
        <w:rPr>
          <w:color w:val="000000"/>
        </w:rPr>
        <w:t xml:space="preserve"> edilebilir. Mahkeme, özellikle Anayasa Mahkemesi veya Hükümet tarafından başvurucuların doğrudan darbe</w:t>
      </w:r>
      <w:r>
        <w:rPr>
          <w:color w:val="000000"/>
        </w:rPr>
        <w:t xml:space="preserve"> girişimiyle bağlantılı bir eylemde bulunurken veya hemen sonrasında yakalanıp </w:t>
      </w:r>
      <w:r>
        <w:rPr>
          <w:color w:val="000000"/>
        </w:rPr>
        <w:lastRenderedPageBreak/>
        <w:t>tutuklandıkları</w:t>
      </w:r>
      <w:r>
        <w:t xml:space="preserve"> yönünde</w:t>
      </w:r>
      <w:r>
        <w:rPr>
          <w:color w:val="000000"/>
        </w:rPr>
        <w:t xml:space="preserve"> bir teyid bulunmadığını kaydederek (bakınız, benzer bir bulgu için, aynı yerde, §§ 149 ve 152), başvurucuların tutuklanmasına neden olan benzersiz koşull</w:t>
      </w:r>
      <w:r>
        <w:rPr>
          <w:color w:val="000000"/>
        </w:rPr>
        <w:t xml:space="preserve">arın farkında olmakla birlikte, Anayasa Mahkemesi'nin bu varsayıma dayanan yaklaşımının benzer şekilde "suçüstü" kavramını </w:t>
      </w:r>
      <w:proofErr w:type="gramStart"/>
      <w:r>
        <w:rPr>
          <w:color w:val="000000"/>
        </w:rPr>
        <w:t>CMK'nın</w:t>
      </w:r>
      <w:proofErr w:type="gramEnd"/>
      <w:r>
        <w:rPr>
          <w:color w:val="000000"/>
        </w:rPr>
        <w:t xml:space="preserve"> 2. </w:t>
      </w:r>
      <w:proofErr w:type="gramStart"/>
      <w:r>
        <w:rPr>
          <w:color w:val="000000"/>
        </w:rPr>
        <w:t>maddesinde</w:t>
      </w:r>
      <w:proofErr w:type="gramEnd"/>
      <w:r>
        <w:rPr>
          <w:color w:val="000000"/>
        </w:rPr>
        <w:t xml:space="preserve"> </w:t>
      </w:r>
      <w:r>
        <w:t xml:space="preserve">yer alan geleneksel anlamın </w:t>
      </w:r>
      <w:r>
        <w:rPr>
          <w:color w:val="000000"/>
        </w:rPr>
        <w:t xml:space="preserve"> ötesine taşıyor gibi göründüğünü düşünmektedir (bakınız </w:t>
      </w:r>
      <w:r>
        <w:rPr>
          <w:i/>
          <w:color w:val="000000"/>
        </w:rPr>
        <w:t>Baş</w:t>
      </w:r>
      <w:r>
        <w:rPr>
          <w:color w:val="000000"/>
        </w:rPr>
        <w:t>, yukarıda anılan, §§ 5</w:t>
      </w:r>
      <w:r>
        <w:rPr>
          <w:color w:val="000000"/>
        </w:rPr>
        <w:t>9 ve 152).</w:t>
      </w:r>
    </w:p>
    <w:p w:rsidR="00380A26" w:rsidRDefault="0059142E">
      <w:pPr>
        <w:pBdr>
          <w:top w:val="nil"/>
          <w:left w:val="nil"/>
          <w:bottom w:val="nil"/>
          <w:right w:val="nil"/>
          <w:between w:val="nil"/>
        </w:pBdr>
        <w:ind w:firstLine="284"/>
        <w:jc w:val="both"/>
        <w:rPr>
          <w:color w:val="000000"/>
        </w:rPr>
      </w:pPr>
      <w:bookmarkStart w:id="27" w:name="_heading=h.1mrcu09" w:colFirst="0" w:colLast="0"/>
      <w:bookmarkEnd w:id="27"/>
      <w:r>
        <w:rPr>
          <w:color w:val="000000"/>
        </w:rPr>
        <w:t xml:space="preserve">86.  Mahkeme ayrıca Hükümet’in, ilgili başvurucuların olağan yasalar çerçevesinde </w:t>
      </w:r>
      <w:r>
        <w:t>tutukluluklarının</w:t>
      </w:r>
      <w:r>
        <w:rPr>
          <w:color w:val="000000"/>
        </w:rPr>
        <w:t xml:space="preserve">, suçüstü hâlinde bulunmalarına bağlı olmadığı, ancak 2802 sayılı Kanun'un 93. </w:t>
      </w:r>
      <w:proofErr w:type="gramStart"/>
      <w:r>
        <w:rPr>
          <w:color w:val="000000"/>
        </w:rPr>
        <w:t>maddesi</w:t>
      </w:r>
      <w:proofErr w:type="gramEnd"/>
      <w:r>
        <w:rPr>
          <w:color w:val="000000"/>
        </w:rPr>
        <w:t xml:space="preserve"> kapsamında da düzenlenen isnat edilen suçun görevle ilgili </w:t>
      </w:r>
      <w:r>
        <w:rPr>
          <w:color w:val="000000"/>
        </w:rPr>
        <w:t xml:space="preserve">değil, bu madde kapsamında düzenlenen kişisel bir suç olduğu yönündeki iddiasını not etmektedir. </w:t>
      </w:r>
      <w:r>
        <w:rPr>
          <w:i/>
          <w:color w:val="000000"/>
        </w:rPr>
        <w:t>Baş</w:t>
      </w:r>
      <w:r>
        <w:rPr>
          <w:color w:val="000000"/>
        </w:rPr>
        <w:t xml:space="preserve"> davasında belirtildiği gibi (aynı yerde, § 158), başvurucuların iddia edilen davranışlarının hangi suç kategorisine girdiğini belirlemek Mahkeme'nin görevi</w:t>
      </w:r>
      <w:r>
        <w:rPr>
          <w:color w:val="000000"/>
        </w:rPr>
        <w:t xml:space="preserve"> değildir. Bu nedenle Mahkeme, incelemesini ilgili yasanın mevcut koşullarda yasal </w:t>
      </w:r>
      <w:r>
        <w:t xml:space="preserve">belirlilik ilkesinin </w:t>
      </w:r>
      <w:r>
        <w:rPr>
          <w:color w:val="000000"/>
        </w:rPr>
        <w:t>gerekliliklerine uygun bir şekilde uygulanıp uygulanmadığını değerlendirmekle sınırlandıracaktır (aynı yerde, § 158).</w:t>
      </w:r>
    </w:p>
    <w:p w:rsidR="00380A26" w:rsidRDefault="0059142E">
      <w:pPr>
        <w:pBdr>
          <w:top w:val="nil"/>
          <w:left w:val="nil"/>
          <w:bottom w:val="nil"/>
          <w:right w:val="nil"/>
          <w:between w:val="nil"/>
        </w:pBdr>
        <w:ind w:firstLine="284"/>
        <w:jc w:val="both"/>
        <w:rPr>
          <w:color w:val="000000"/>
        </w:rPr>
      </w:pPr>
      <w:r>
        <w:rPr>
          <w:color w:val="000000"/>
        </w:rPr>
        <w:t xml:space="preserve">87. Mahkeme bu bağlamda başvurucular hakkında verilen tutuklama kararlarında, söz konusu suçun “kişisel” veya “görevle ilgili” mahiyeti hakkında herhangi bir pozisyon alınmadığını ve eğer alınmışsa bile her iki suç türü için geçerli olan Kanun'un 94. </w:t>
      </w:r>
      <w:proofErr w:type="gramStart"/>
      <w:r>
        <w:rPr>
          <w:color w:val="000000"/>
        </w:rPr>
        <w:t>madde</w:t>
      </w:r>
      <w:r>
        <w:rPr>
          <w:color w:val="000000"/>
        </w:rPr>
        <w:t>sine</w:t>
      </w:r>
      <w:proofErr w:type="gramEnd"/>
      <w:r>
        <w:rPr>
          <w:color w:val="000000"/>
        </w:rPr>
        <w:t xml:space="preserve"> sadece atıfta bulunulduğunu gözlemlemektedir. Baş davasında (</w:t>
      </w:r>
      <w:r>
        <w:t>aynı yerde</w:t>
      </w:r>
      <w:r>
        <w:rPr>
          <w:color w:val="000000"/>
        </w:rPr>
        <w:t xml:space="preserve">.) açıklanan nedenlerle Mahkeme, suçüstü hâlinin varlığının, başvurucuların ilgili kanun kapsamında sağlanan güvencelerden yoksun bırakılmasında belirleyici olduğu kanaatindedir. </w:t>
      </w:r>
      <w:r>
        <w:t>M</w:t>
      </w:r>
      <w:r>
        <w:t xml:space="preserve">ahkeme ayrıca, tutuklama kararlarının 94. </w:t>
      </w:r>
      <w:proofErr w:type="gramStart"/>
      <w:r>
        <w:t>bölüme</w:t>
      </w:r>
      <w:proofErr w:type="gramEnd"/>
      <w:r>
        <w:t xml:space="preserve"> açık bir atıfta bulunmadığı başvurularda bile, bir yargı mensubunun silahlı terör örgütü üyeliğinden tutuklanması halinde kendilerine atfedilen silahlı terör örgütüne üyelik suçunun </w:t>
      </w:r>
      <w:r>
        <w:t xml:space="preserve">devam eden </w:t>
      </w:r>
      <w:r>
        <w:t>niteliği göz ö</w:t>
      </w:r>
      <w:r>
        <w:t xml:space="preserve">nünde bulundurularak, 2802 sayılı Kanun'un 94. </w:t>
      </w:r>
      <w:proofErr w:type="gramStart"/>
      <w:r>
        <w:t>maddesi anlamında "ağır ceza mahkemesinin görevine giren suçüstü" koşulları, yakalama anında gerçekleşmiş sayılacağının, Yargıtay ve Anayasa Mahkemesi'nin ilgili içtihatlarından açıkça görüldüğünü kaydetm</w:t>
      </w:r>
      <w:r>
        <w:t xml:space="preserve">ektedir (bakınız, örneğin, </w:t>
      </w:r>
      <w:r>
        <w:rPr>
          <w:i/>
        </w:rPr>
        <w:t>Baş</w:t>
      </w:r>
      <w:r>
        <w:t>’ta atıfta bulunulan önde gelen Yargıtay kararları, yukarıda anılan, §§ 88 ve 150 ve yukarıda anılan 73. paragraf; ayrıca bakınız, yukarıda 36. paragrafta belirtilen 94. maddeye açık bir atıfta bulunulmasa veya tutuklama karar</w:t>
      </w:r>
      <w:r>
        <w:t xml:space="preserve">ında böyle bir durumun tanınması söz konusu olmasa bile, “suçüstü hali” durumunun varlığı bu mahkeme tarafından onaylanan Anayasa Mahkemesi kararı) </w:t>
      </w:r>
      <w:r>
        <w:rPr>
          <w:color w:val="000000"/>
        </w:rPr>
        <w:t>Hükümet ayrıca açıklamalarında, başvurucuların suçüstü halinde yakalanmaları nedeniyle tutukluluk hallerinin</w:t>
      </w:r>
      <w:r>
        <w:rPr>
          <w:color w:val="000000"/>
        </w:rPr>
        <w:t xml:space="preserve"> CMK’nın genel hükümlerine uygun olarak yürütüldüğünü kabul etmiştir (bakınız yukarıda 71-72. paragraflar).</w:t>
      </w:r>
      <w:proofErr w:type="gramEnd"/>
    </w:p>
    <w:p w:rsidR="00380A26" w:rsidRDefault="0059142E">
      <w:pPr>
        <w:pBdr>
          <w:top w:val="nil"/>
          <w:left w:val="nil"/>
          <w:bottom w:val="nil"/>
          <w:right w:val="nil"/>
          <w:between w:val="nil"/>
        </w:pBdr>
        <w:ind w:firstLine="284"/>
        <w:jc w:val="both"/>
      </w:pPr>
      <w:r>
        <w:rPr>
          <w:color w:val="000000"/>
        </w:rPr>
        <w:t>88. </w:t>
      </w:r>
      <w:r>
        <w:t xml:space="preserve">Mahkeme bu sebeple 2802 sayılı Kanun'un 94. </w:t>
      </w:r>
      <w:proofErr w:type="gramStart"/>
      <w:r>
        <w:t>maddesi</w:t>
      </w:r>
      <w:proofErr w:type="gramEnd"/>
      <w:r>
        <w:t xml:space="preserve"> anlamında “suçüstü hali”nin mevcudiyetine ilişkin bulgunun, tutuklamanın kanuniliğine halel </w:t>
      </w:r>
      <w:r>
        <w:t xml:space="preserve">getirmeden, sadece yer bakımından tutuklama kararının vermeye yetkili </w:t>
      </w:r>
      <w:r>
        <w:lastRenderedPageBreak/>
        <w:t xml:space="preserve">mahkemenin belirlenmesine ilişkin olduğu hususunda ikna olmamıştır (see </w:t>
      </w:r>
      <w:r>
        <w:rPr>
          <w:i/>
        </w:rPr>
        <w:t>Baş</w:t>
      </w:r>
      <w:r>
        <w:t>, cited above, § 158).</w:t>
      </w:r>
    </w:p>
    <w:p w:rsidR="00380A26" w:rsidRDefault="0059142E">
      <w:pPr>
        <w:pBdr>
          <w:top w:val="nil"/>
          <w:left w:val="nil"/>
          <w:bottom w:val="nil"/>
          <w:right w:val="nil"/>
          <w:between w:val="nil"/>
        </w:pBdr>
        <w:ind w:firstLine="284"/>
        <w:jc w:val="both"/>
        <w:rPr>
          <w:color w:val="000000"/>
        </w:rPr>
      </w:pPr>
      <w:r>
        <w:rPr>
          <w:color w:val="000000"/>
        </w:rPr>
        <w:t>89. Mahkeme ayrıca, Yargıtay tarafından yapılan (bakınız yukarıda 32-35. paragraflar) ve</w:t>
      </w:r>
      <w:r>
        <w:rPr>
          <w:color w:val="000000"/>
        </w:rPr>
        <w:t xml:space="preserve"> Hükümet'in görüşlerinde tekrarlanan (bakınız yukarıda 78. paragraf) suçun kişisel veya resmi bir yetkiyle işlenip işlenmediğine veya suçüstü yakalandıklarına bakılmaksızın </w:t>
      </w:r>
      <w:proofErr w:type="gramStart"/>
      <w:r>
        <w:rPr>
          <w:color w:val="000000"/>
        </w:rPr>
        <w:t>CMK'nın</w:t>
      </w:r>
      <w:proofErr w:type="gramEnd"/>
      <w:r>
        <w:rPr>
          <w:color w:val="000000"/>
        </w:rPr>
        <w:t xml:space="preserve"> 161. </w:t>
      </w:r>
      <w:proofErr w:type="gramStart"/>
      <w:r>
        <w:rPr>
          <w:color w:val="000000"/>
        </w:rPr>
        <w:t>maddesinin</w:t>
      </w:r>
      <w:proofErr w:type="gramEnd"/>
      <w:r>
        <w:rPr>
          <w:color w:val="000000"/>
        </w:rPr>
        <w:t xml:space="preserve"> 8. </w:t>
      </w:r>
      <w:proofErr w:type="gramStart"/>
      <w:r>
        <w:rPr>
          <w:color w:val="000000"/>
        </w:rPr>
        <w:t>fıkrası</w:t>
      </w:r>
      <w:proofErr w:type="gramEnd"/>
      <w:r>
        <w:rPr>
          <w:color w:val="000000"/>
        </w:rPr>
        <w:t xml:space="preserve"> uyarınca haklarındaki soruşturmanın doğrudan sav</w:t>
      </w:r>
      <w:r>
        <w:rPr>
          <w:color w:val="000000"/>
        </w:rPr>
        <w:t xml:space="preserve">cılar tarafından yürütülecek olması nedeniyle 2802 sayılı Kanun’da belirtilen özel prosedürün başvurucuların davalarında hiçbir şekilde uygulanmayacağına dair savunmayı not etmektedir. Mahkeme, bu bağlamda, 2802 sayılı Kanun’un ilgili hükümleri ile </w:t>
      </w:r>
      <w:proofErr w:type="gramStart"/>
      <w:r>
        <w:rPr>
          <w:color w:val="000000"/>
        </w:rPr>
        <w:t>CMK’nın</w:t>
      </w:r>
      <w:proofErr w:type="gramEnd"/>
      <w:r>
        <w:rPr>
          <w:color w:val="000000"/>
        </w:rPr>
        <w:t xml:space="preserve"> 161. </w:t>
      </w:r>
      <w:proofErr w:type="gramStart"/>
      <w:r>
        <w:rPr>
          <w:color w:val="000000"/>
        </w:rPr>
        <w:t>maddesinin</w:t>
      </w:r>
      <w:proofErr w:type="gramEnd"/>
      <w:r>
        <w:rPr>
          <w:color w:val="000000"/>
        </w:rPr>
        <w:t xml:space="preserve"> 8. </w:t>
      </w:r>
      <w:proofErr w:type="gramStart"/>
      <w:r>
        <w:rPr>
          <w:color w:val="000000"/>
        </w:rPr>
        <w:t>fıkrası</w:t>
      </w:r>
      <w:proofErr w:type="gramEnd"/>
      <w:r>
        <w:rPr>
          <w:color w:val="000000"/>
        </w:rPr>
        <w:t xml:space="preserve"> arasındaki </w:t>
      </w:r>
      <w:r>
        <w:t xml:space="preserve">ilişkinin </w:t>
      </w:r>
      <w:r>
        <w:rPr>
          <w:color w:val="000000"/>
        </w:rPr>
        <w:t xml:space="preserve">ve özellikle, 161. </w:t>
      </w:r>
      <w:proofErr w:type="gramStart"/>
      <w:r>
        <w:rPr>
          <w:color w:val="000000"/>
        </w:rPr>
        <w:t>maddenin</w:t>
      </w:r>
      <w:proofErr w:type="gramEnd"/>
      <w:r>
        <w:rPr>
          <w:color w:val="000000"/>
        </w:rPr>
        <w:t xml:space="preserve"> 8. </w:t>
      </w:r>
      <w:proofErr w:type="gramStart"/>
      <w:r>
        <w:rPr>
          <w:color w:val="000000"/>
        </w:rPr>
        <w:t>fıkrasının</w:t>
      </w:r>
      <w:proofErr w:type="gramEnd"/>
      <w:r>
        <w:rPr>
          <w:color w:val="000000"/>
        </w:rPr>
        <w:t xml:space="preserve"> yalnızca bir ceza soruşturması yürütmekten sorumlu makamın atanmasıyla ilgili olduğunu not ederek, </w:t>
      </w:r>
      <w:r>
        <w:t>bunun</w:t>
      </w:r>
      <w:r>
        <w:rPr>
          <w:color w:val="000000"/>
        </w:rPr>
        <w:t xml:space="preserve"> yargı mensuplarına karşı alınabilecek önleyici tedbirler üze</w:t>
      </w:r>
      <w:r>
        <w:rPr>
          <w:color w:val="000000"/>
        </w:rPr>
        <w:t>rindeki etkisinin mevcut bağlamda belirsiz</w:t>
      </w:r>
      <w:r>
        <w:t xml:space="preserve"> olduğunu</w:t>
      </w:r>
      <w:r>
        <w:rPr>
          <w:color w:val="000000"/>
        </w:rPr>
        <w:t xml:space="preserve"> değerlendirmektedir. Mahkeme ayrıca önündeki bulgulardan, 161. </w:t>
      </w:r>
      <w:proofErr w:type="gramStart"/>
      <w:r>
        <w:rPr>
          <w:color w:val="000000"/>
        </w:rPr>
        <w:t>maddenin</w:t>
      </w:r>
      <w:proofErr w:type="gramEnd"/>
      <w:r>
        <w:rPr>
          <w:color w:val="000000"/>
        </w:rPr>
        <w:t xml:space="preserve"> 8. </w:t>
      </w:r>
      <w:proofErr w:type="gramStart"/>
      <w:r>
        <w:rPr>
          <w:color w:val="000000"/>
        </w:rPr>
        <w:t>fıkrası</w:t>
      </w:r>
      <w:proofErr w:type="gramEnd"/>
      <w:r>
        <w:rPr>
          <w:color w:val="000000"/>
        </w:rPr>
        <w:t xml:space="preserve"> uyarınca ileri sürülen bu argümanın Anayasa Mahkemesi tarafından ele alınmadığını (bakınız yukarıda 37-43. paragraflar) g</w:t>
      </w:r>
      <w:r>
        <w:rPr>
          <w:color w:val="000000"/>
        </w:rPr>
        <w:t xml:space="preserve">özlemlemektedir. Bu koşullar altında Mahkeme, başvurucuların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uyarınca tutukluluk halinin hukuka uygunluğunu belirlemek amacıyla bu hükmünü dikkate alması mümkün değildir.</w:t>
      </w:r>
    </w:p>
    <w:p w:rsidR="00380A26" w:rsidRDefault="0059142E">
      <w:pPr>
        <w:pBdr>
          <w:top w:val="nil"/>
          <w:left w:val="nil"/>
          <w:bottom w:val="nil"/>
          <w:right w:val="nil"/>
          <w:between w:val="nil"/>
        </w:pBdr>
        <w:ind w:firstLine="284"/>
        <w:jc w:val="both"/>
        <w:rPr>
          <w:color w:val="000000"/>
        </w:rPr>
      </w:pPr>
      <w:bookmarkStart w:id="28" w:name="_heading=h.111kx3o" w:colFirst="0" w:colLast="0"/>
      <w:bookmarkEnd w:id="28"/>
      <w:r>
        <w:rPr>
          <w:color w:val="000000"/>
        </w:rPr>
        <w:t>90.  Mahkeme, Hükümet'in de beyanlarında belirttiği gibi, iç hukuku yorumlamanın ve uygulamanın öncelikle ulusal makamların, özellikle yerel mahkemelerin işi olduğunu yinelemektedir. Bununla birlikte, aynı zamanda bu yasanın yorumlanma ve uygulanma biçimin</w:t>
      </w:r>
      <w:r>
        <w:rPr>
          <w:color w:val="000000"/>
        </w:rPr>
        <w:t xml:space="preserve">in Sözleşme ilkeleriyle tutarlı sonuçlar üretip üretmediğini belirlemenin nihai olarak Mahkeme’ye ait olduğunu hatırlatmaktadır (bakınız, örneğin, </w:t>
      </w:r>
      <w:r>
        <w:rPr>
          <w:i/>
          <w:color w:val="000000"/>
        </w:rPr>
        <w:t>Guðmundur Andri Ástráðsson v. İzlanda</w:t>
      </w:r>
      <w:r w:rsidR="001F3ADC">
        <w:rPr>
          <w:color w:val="000000"/>
        </w:rPr>
        <w:t xml:space="preserve"> [BD</w:t>
      </w:r>
      <w:r>
        <w:rPr>
          <w:color w:val="000000"/>
        </w:rPr>
        <w:t>], no. 26374/18, § 250, 1 Aralık 2020 ve burada belirtilen davalar).</w:t>
      </w:r>
      <w:r>
        <w:rPr>
          <w:color w:val="000000"/>
        </w:rPr>
        <w:t xml:space="preserve"> Hükümet'in doğru olarak işaret ettiği gibi, 2802 sayılı Kanun kapsamında sağlanan yargısal koruma, cezasızlık anlamına gelmemektedir. Bununla birlikte, hukukun üstünlüğü ile yönetilen demokratik bir Devlette yargının önemi ve bu tür bir korumanın hâkim ve</w:t>
      </w:r>
      <w:r>
        <w:rPr>
          <w:color w:val="000000"/>
        </w:rPr>
        <w:t xml:space="preserve"> savcılara kendi kişisel çıkarları için değil, görevlerini bağımsız bir şekilde yerine getirmelerini güvence altına almak için verildiği gerçeği göz önünde bulundurularak bir yargı mensubunun özgürlüğünden mahrum bırakıldığı durumlarda hukuki belirlilik ge</w:t>
      </w:r>
      <w:r>
        <w:rPr>
          <w:color w:val="000000"/>
        </w:rPr>
        <w:t xml:space="preserve">reklilikleri daha da önemli hale gelmektedir (bakınız </w:t>
      </w:r>
      <w:r>
        <w:rPr>
          <w:i/>
          <w:color w:val="000000"/>
        </w:rPr>
        <w:t>Baş</w:t>
      </w:r>
      <w:r>
        <w:rPr>
          <w:color w:val="000000"/>
        </w:rPr>
        <w:t>, yukarıda anılan, § 158).</w:t>
      </w:r>
    </w:p>
    <w:p w:rsidR="00380A26" w:rsidRDefault="0059142E">
      <w:pPr>
        <w:pBdr>
          <w:top w:val="nil"/>
          <w:left w:val="nil"/>
          <w:bottom w:val="nil"/>
          <w:right w:val="nil"/>
          <w:between w:val="nil"/>
        </w:pBdr>
        <w:ind w:firstLine="284"/>
        <w:jc w:val="both"/>
        <w:rPr>
          <w:color w:val="000000"/>
        </w:rPr>
      </w:pPr>
      <w:r>
        <w:rPr>
          <w:color w:val="000000"/>
        </w:rPr>
        <w:t xml:space="preserve">91.  Yukarıda belirtilenleri ve </w:t>
      </w:r>
      <w:r>
        <w:rPr>
          <w:i/>
          <w:color w:val="000000"/>
        </w:rPr>
        <w:t>Baş</w:t>
      </w:r>
      <w:r>
        <w:rPr>
          <w:color w:val="000000"/>
        </w:rPr>
        <w:t xml:space="preserve"> davasındaki tespitlerini dikkate </w:t>
      </w:r>
      <w:proofErr w:type="gramStart"/>
      <w:r>
        <w:rPr>
          <w:color w:val="000000"/>
        </w:rPr>
        <w:t>alan</w:t>
      </w:r>
      <w:proofErr w:type="gramEnd"/>
      <w:r>
        <w:rPr>
          <w:color w:val="000000"/>
        </w:rPr>
        <w:t xml:space="preserve"> Mahkeme, 2802 sayılı Kanun’a tabi başvur</w:t>
      </w:r>
      <w:r w:rsidR="001F3ADC">
        <w:rPr>
          <w:color w:val="000000"/>
        </w:rPr>
        <w:t xml:space="preserve">ucuların tutukluluk hallerinin </w:t>
      </w:r>
      <w:r>
        <w:rPr>
          <w:color w:val="000000"/>
        </w:rPr>
        <w:t xml:space="preserve">Sözleşme'nin 5. </w:t>
      </w:r>
      <w:proofErr w:type="gramStart"/>
      <w:r>
        <w:rPr>
          <w:color w:val="000000"/>
        </w:rPr>
        <w:t>maddesinin</w:t>
      </w:r>
      <w:proofErr w:type="gramEnd"/>
      <w:r>
        <w:rPr>
          <w:color w:val="000000"/>
        </w:rPr>
        <w:t xml:space="preserve"> 1. </w:t>
      </w:r>
      <w:proofErr w:type="gramStart"/>
      <w:r>
        <w:rPr>
          <w:color w:val="000000"/>
        </w:rPr>
        <w:t>fıkrasının</w:t>
      </w:r>
      <w:proofErr w:type="gramEnd"/>
      <w:r>
        <w:rPr>
          <w:color w:val="000000"/>
        </w:rPr>
        <w:t xml:space="preserve"> anlamı dahilinde kanunda öngörülen bir usule göre gerçekleştiği sonucuna varamamaktadır. Ayrıca, yukarıda belirtilen nedenlerle Mahkeme, söz konusu tedbirin kesin olarak durumun gereklilikleri tarafından zorunlu kılındığının söylenemeyeceği </w:t>
      </w:r>
      <w:r>
        <w:rPr>
          <w:color w:val="000000"/>
        </w:rPr>
        <w:t>kanaatindedir (a</w:t>
      </w:r>
      <w:r>
        <w:t>ynı yerde</w:t>
      </w:r>
      <w:r>
        <w:rPr>
          <w:color w:val="000000"/>
        </w:rPr>
        <w:t>, §§ 159-162).</w:t>
      </w:r>
    </w:p>
    <w:p w:rsidR="00380A26" w:rsidRDefault="0059142E">
      <w:pPr>
        <w:pBdr>
          <w:top w:val="nil"/>
          <w:left w:val="nil"/>
          <w:bottom w:val="nil"/>
          <w:right w:val="nil"/>
          <w:between w:val="nil"/>
        </w:pBdr>
        <w:ind w:firstLine="284"/>
        <w:jc w:val="both"/>
      </w:pPr>
      <w:r>
        <w:rPr>
          <w:color w:val="000000"/>
        </w:rPr>
        <w:lastRenderedPageBreak/>
        <w:t>92.  Bu nedenle, 2802 sayılı Kanun’a tabi</w:t>
      </w:r>
      <w:r>
        <w:t xml:space="preserve"> </w:t>
      </w:r>
      <w:r>
        <w:t>normal</w:t>
      </w:r>
      <w:r>
        <w:t xml:space="preserve"> </w:t>
      </w:r>
      <w:r>
        <w:rPr>
          <w:color w:val="000000"/>
        </w:rPr>
        <w:t>hakim veya savcı olan başvur</w:t>
      </w:r>
      <w:r>
        <w:t>ucu</w:t>
      </w:r>
      <w:r>
        <w:rPr>
          <w:color w:val="000000"/>
        </w:rPr>
        <w:t xml:space="preserve">ların tutukluluklarının hukuka aykırılığı nedeniyle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ihlal edilmiştir.</w:t>
      </w:r>
    </w:p>
    <w:p w:rsidR="00380A26" w:rsidRDefault="00380A26">
      <w:pPr>
        <w:pBdr>
          <w:top w:val="nil"/>
          <w:left w:val="nil"/>
          <w:bottom w:val="nil"/>
          <w:right w:val="nil"/>
          <w:between w:val="nil"/>
        </w:pBdr>
        <w:ind w:firstLine="284"/>
        <w:jc w:val="both"/>
      </w:pPr>
    </w:p>
    <w:p w:rsidR="00380A26" w:rsidRDefault="0059142E">
      <w:pPr>
        <w:keepNext/>
        <w:keepLines/>
        <w:numPr>
          <w:ilvl w:val="4"/>
          <w:numId w:val="4"/>
        </w:numPr>
        <w:pBdr>
          <w:top w:val="nil"/>
          <w:left w:val="nil"/>
          <w:bottom w:val="nil"/>
          <w:right w:val="nil"/>
          <w:between w:val="nil"/>
        </w:pBdr>
        <w:spacing w:before="100" w:after="120"/>
        <w:jc w:val="both"/>
        <w:rPr>
          <w:b/>
          <w:color w:val="000000"/>
        </w:rPr>
      </w:pPr>
      <w:r>
        <w:rPr>
          <w:b/>
          <w:color w:val="000000"/>
          <w:sz w:val="20"/>
          <w:szCs w:val="20"/>
        </w:rPr>
        <w:t xml:space="preserve">2797 Sayılı Kanun ve 2575 </w:t>
      </w:r>
      <w:r>
        <w:rPr>
          <w:b/>
          <w:color w:val="000000"/>
          <w:sz w:val="20"/>
          <w:szCs w:val="20"/>
        </w:rPr>
        <w:t>Sayılı Kanun Kapsamındaki Yargıtay ve Danıştay Üyeleri</w:t>
      </w:r>
    </w:p>
    <w:p w:rsidR="00380A26" w:rsidRDefault="0059142E">
      <w:pPr>
        <w:pBdr>
          <w:top w:val="nil"/>
          <w:left w:val="nil"/>
          <w:bottom w:val="nil"/>
          <w:right w:val="nil"/>
          <w:between w:val="nil"/>
        </w:pBdr>
        <w:ind w:firstLine="284"/>
        <w:jc w:val="both"/>
        <w:rPr>
          <w:color w:val="000000"/>
        </w:rPr>
      </w:pPr>
      <w:r>
        <w:rPr>
          <w:color w:val="000000"/>
        </w:rPr>
        <w:t xml:space="preserve">93.  Mahkeme, 2797 sayılı Yargıtay Kanunu’nun, Danıştay üyeleri için de geçerli olan 46. </w:t>
      </w:r>
      <w:proofErr w:type="gramStart"/>
      <w:r>
        <w:rPr>
          <w:color w:val="000000"/>
        </w:rPr>
        <w:t>maddesine</w:t>
      </w:r>
      <w:proofErr w:type="gramEnd"/>
      <w:r>
        <w:rPr>
          <w:color w:val="000000"/>
        </w:rPr>
        <w:t xml:space="preserve"> göre, bu yüksek mahkeme yargıçları hakkında soruşturma açılması, ağır ceza mahkemelerinin yargı yetkis</w:t>
      </w:r>
      <w:r>
        <w:rPr>
          <w:color w:val="000000"/>
        </w:rPr>
        <w:t>ine giren ve olağan hukuk kurallarının uygulanmasını gerektiren suçüstü halleri ortaya çıkmadıkça (bakınız yukarıdaki 30-31. paragraflar), ilgili Başkanlık Kurullarının kararına bağlı olduğunu not etmektedir.</w:t>
      </w:r>
    </w:p>
    <w:p w:rsidR="00380A26" w:rsidRDefault="0059142E">
      <w:pPr>
        <w:pBdr>
          <w:top w:val="nil"/>
          <w:left w:val="nil"/>
          <w:bottom w:val="nil"/>
          <w:right w:val="nil"/>
          <w:between w:val="nil"/>
        </w:pBdr>
        <w:ind w:firstLine="284"/>
        <w:jc w:val="both"/>
        <w:rPr>
          <w:color w:val="000000"/>
        </w:rPr>
      </w:pPr>
      <w:r>
        <w:rPr>
          <w:color w:val="000000"/>
        </w:rPr>
        <w:t>94.  Mahkeme, yukarıda belirtilen yasal çerçeve</w:t>
      </w:r>
      <w:r>
        <w:rPr>
          <w:color w:val="000000"/>
        </w:rPr>
        <w:t xml:space="preserve">nin, </w:t>
      </w:r>
      <w:r>
        <w:rPr>
          <w:i/>
          <w:color w:val="000000"/>
        </w:rPr>
        <w:t xml:space="preserve">Alparslan Altan </w:t>
      </w:r>
      <w:r>
        <w:rPr>
          <w:color w:val="000000"/>
        </w:rPr>
        <w:t>davasında (yukarıda anılan, § 49) ortaya ko</w:t>
      </w:r>
      <w:r>
        <w:t>nulan,</w:t>
      </w:r>
      <w:r>
        <w:rPr>
          <w:color w:val="000000"/>
        </w:rPr>
        <w:t xml:space="preserve"> Anayasa Mahkemesi üyeleri için geçerli olan usule benzer olduğunu gözlemlemektedir. Ayrıca, tıpkı bu davada olduğu gibi, mevcut başvurucuların tutukluluk halinin, yargısal makamların su</w:t>
      </w:r>
      <w:r>
        <w:rPr>
          <w:color w:val="000000"/>
        </w:rPr>
        <w:t>çüstü yakalandıklarına ilişkin tespitleri nedeniyle olağan hukuk hükümlerine uyarınca gerçekleştirildiğini gözlemlemektedir.</w:t>
      </w:r>
    </w:p>
    <w:p w:rsidR="00380A26" w:rsidRDefault="0059142E">
      <w:pPr>
        <w:pBdr>
          <w:top w:val="nil"/>
          <w:left w:val="nil"/>
          <w:bottom w:val="nil"/>
          <w:right w:val="nil"/>
          <w:between w:val="nil"/>
        </w:pBdr>
        <w:ind w:firstLine="284"/>
        <w:jc w:val="both"/>
        <w:rPr>
          <w:color w:val="000000"/>
        </w:rPr>
      </w:pPr>
      <w:r>
        <w:rPr>
          <w:color w:val="000000"/>
        </w:rPr>
        <w:t>95.  Mahkeme, “</w:t>
      </w:r>
      <w:r>
        <w:rPr>
          <w:i/>
          <w:color w:val="000000"/>
        </w:rPr>
        <w:t>suçüstü</w:t>
      </w:r>
      <w:r>
        <w:rPr>
          <w:color w:val="000000"/>
        </w:rPr>
        <w:t xml:space="preserve">" kavramının </w:t>
      </w:r>
      <w:r>
        <w:t xml:space="preserve">genişletilmiş </w:t>
      </w:r>
      <w:r>
        <w:rPr>
          <w:color w:val="000000"/>
        </w:rPr>
        <w:t xml:space="preserve">bir şekilde uygulanmasının, yukarıda belirtilen </w:t>
      </w:r>
      <w:r>
        <w:rPr>
          <w:i/>
          <w:color w:val="000000"/>
        </w:rPr>
        <w:t>Alparslan Altan</w:t>
      </w:r>
      <w:r>
        <w:rPr>
          <w:color w:val="000000"/>
        </w:rPr>
        <w:t xml:space="preserve"> davasında 5. </w:t>
      </w:r>
      <w:proofErr w:type="gramStart"/>
      <w:r>
        <w:rPr>
          <w:color w:val="000000"/>
        </w:rPr>
        <w:t>maddenin</w:t>
      </w:r>
      <w:proofErr w:type="gramEnd"/>
      <w:r>
        <w:rPr>
          <w:color w:val="000000"/>
        </w:rPr>
        <w:t xml:space="preserve"> 1. </w:t>
      </w:r>
      <w:proofErr w:type="gramStart"/>
      <w:r>
        <w:rPr>
          <w:color w:val="000000"/>
        </w:rPr>
        <w:t>fıkrasının</w:t>
      </w:r>
      <w:proofErr w:type="gramEnd"/>
      <w:r>
        <w:rPr>
          <w:color w:val="000000"/>
        </w:rPr>
        <w:t xml:space="preserve"> ihlal edildiğine karar verilmesiyle sonuçlandığını kaydetmektedir (a</w:t>
      </w:r>
      <w:r>
        <w:t>ynı yerde</w:t>
      </w:r>
      <w:r>
        <w:rPr>
          <w:color w:val="000000"/>
        </w:rPr>
        <w:t xml:space="preserve">., §§ 104-115). İlgili olduğu ölçüde önündeki bilgi ve belgeleri ve yukarıda 85 ve 89-90. </w:t>
      </w:r>
      <w:proofErr w:type="gramStart"/>
      <w:r>
        <w:rPr>
          <w:color w:val="000000"/>
        </w:rPr>
        <w:t>paragraflardaki</w:t>
      </w:r>
      <w:proofErr w:type="gramEnd"/>
      <w:r>
        <w:rPr>
          <w:color w:val="000000"/>
        </w:rPr>
        <w:t xml:space="preserve"> argümanı göz önünde bulunduran Mahke</w:t>
      </w:r>
      <w:r>
        <w:rPr>
          <w:color w:val="000000"/>
        </w:rPr>
        <w:t xml:space="preserve">me, </w:t>
      </w:r>
      <w:r>
        <w:rPr>
          <w:i/>
          <w:color w:val="000000"/>
        </w:rPr>
        <w:t>Alparslan Altan</w:t>
      </w:r>
      <w:r>
        <w:rPr>
          <w:color w:val="000000"/>
        </w:rPr>
        <w:t xml:space="preserve">'daki (yukarıda anılan) tespitlerinden ayrılmak için bir neden görmemektedir. Buna göre Mahkeme, tutuklulukları sırasında Yargıtay veya Danıştay üyesi olan başvurucuların benzer şekilde 5. </w:t>
      </w:r>
      <w:proofErr w:type="gramStart"/>
      <w:r>
        <w:rPr>
          <w:color w:val="000000"/>
        </w:rPr>
        <w:t>maddenin</w:t>
      </w:r>
      <w:proofErr w:type="gramEnd"/>
      <w:r>
        <w:rPr>
          <w:color w:val="000000"/>
        </w:rPr>
        <w:t xml:space="preserve"> 1. </w:t>
      </w:r>
      <w:proofErr w:type="gramStart"/>
      <w:r>
        <w:rPr>
          <w:color w:val="000000"/>
        </w:rPr>
        <w:t>fıkrası</w:t>
      </w:r>
      <w:proofErr w:type="gramEnd"/>
      <w:r>
        <w:rPr>
          <w:color w:val="000000"/>
        </w:rPr>
        <w:t xml:space="preserve"> uyarınca kanunda öngörülen b</w:t>
      </w:r>
      <w:r>
        <w:rPr>
          <w:color w:val="000000"/>
        </w:rPr>
        <w:t>ir usule göre özgürlüklerinden yoksun bırakılmadığını tespit etmektedir. Ayrıca, bu başvurucuların tutuklama kararlarının, durumun gereklilikleri tarafından zorunlu kılındığı söyleneme</w:t>
      </w:r>
      <w:r>
        <w:t>yecektir</w:t>
      </w:r>
      <w:r>
        <w:rPr>
          <w:color w:val="000000"/>
        </w:rPr>
        <w:t xml:space="preserve"> (a</w:t>
      </w:r>
      <w:r>
        <w:t>ynı yerde</w:t>
      </w:r>
      <w:r>
        <w:rPr>
          <w:color w:val="000000"/>
        </w:rPr>
        <w:t>, §§ 116-119).</w:t>
      </w:r>
    </w:p>
    <w:p w:rsidR="00380A26" w:rsidRDefault="0059142E">
      <w:pPr>
        <w:pBdr>
          <w:top w:val="nil"/>
          <w:left w:val="nil"/>
          <w:bottom w:val="nil"/>
          <w:right w:val="nil"/>
          <w:between w:val="nil"/>
        </w:pBdr>
        <w:ind w:firstLine="284"/>
        <w:jc w:val="both"/>
        <w:rPr>
          <w:color w:val="000000"/>
        </w:rPr>
      </w:pPr>
      <w:r>
        <w:rPr>
          <w:color w:val="000000"/>
        </w:rPr>
        <w:t>96.  Bu nedenle, ilgili tarihte 2797</w:t>
      </w:r>
      <w:r>
        <w:rPr>
          <w:color w:val="000000"/>
        </w:rPr>
        <w:t xml:space="preserve"> sayılı Kanun’a veya 2575 sayılı Kanun’a tabi Yargıtay veya Danıştay üyesi olan başvurucuların tutukluluklarının hukuka aykırılığı nedeniyle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w:t>
      </w:r>
      <w:proofErr w:type="gramStart"/>
      <w:r>
        <w:rPr>
          <w:color w:val="000000"/>
        </w:rPr>
        <w:t>fıkrası</w:t>
      </w:r>
      <w:proofErr w:type="gramEnd"/>
      <w:r>
        <w:rPr>
          <w:color w:val="000000"/>
        </w:rPr>
        <w:t xml:space="preserve"> ihlal edilmiştir.</w:t>
      </w:r>
    </w:p>
    <w:p w:rsidR="00380A26" w:rsidRDefault="00380A26">
      <w:pPr>
        <w:pBdr>
          <w:top w:val="nil"/>
          <w:left w:val="nil"/>
          <w:bottom w:val="nil"/>
          <w:right w:val="nil"/>
          <w:between w:val="nil"/>
        </w:pBdr>
        <w:ind w:firstLine="284"/>
        <w:jc w:val="both"/>
        <w:rPr>
          <w:color w:val="000000"/>
        </w:rPr>
      </w:pPr>
    </w:p>
    <w:p w:rsidR="00380A26" w:rsidRDefault="0059142E">
      <w:pPr>
        <w:keepNext/>
        <w:keepLines/>
        <w:numPr>
          <w:ilvl w:val="1"/>
          <w:numId w:val="4"/>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color w:val="000000"/>
        </w:rPr>
        <w:t>SÖZ</w:t>
      </w:r>
      <w:r>
        <w:rPr>
          <w:smallCaps/>
        </w:rPr>
        <w:t xml:space="preserve">LEŞME’NİN DİĞER MADDELERİNİN İHLAL EDİLDİĞİ İDDİASI </w:t>
      </w:r>
    </w:p>
    <w:p w:rsidR="00380A26" w:rsidRDefault="0059142E">
      <w:pPr>
        <w:pBdr>
          <w:top w:val="nil"/>
          <w:left w:val="nil"/>
          <w:bottom w:val="nil"/>
          <w:right w:val="nil"/>
          <w:between w:val="nil"/>
        </w:pBdr>
        <w:ind w:firstLine="284"/>
        <w:jc w:val="both"/>
        <w:rPr>
          <w:color w:val="000000"/>
        </w:rPr>
      </w:pPr>
      <w:r>
        <w:rPr>
          <w:color w:val="000000"/>
        </w:rPr>
        <w:t xml:space="preserve">97. Başvuruculardan bazıları ayrıca,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w:t>
      </w:r>
      <w:r w:rsidR="001F3ADC">
        <w:rPr>
          <w:color w:val="000000"/>
        </w:rPr>
        <w:t xml:space="preserve"> </w:t>
      </w:r>
      <w:proofErr w:type="gramStart"/>
      <w:r>
        <w:rPr>
          <w:color w:val="000000"/>
        </w:rPr>
        <w:t>fıkrasının</w:t>
      </w:r>
      <w:proofErr w:type="gramEnd"/>
      <w:r>
        <w:rPr>
          <w:color w:val="000000"/>
        </w:rPr>
        <w:t xml:space="preserve"> c bendi ve 3. </w:t>
      </w:r>
      <w:proofErr w:type="gramStart"/>
      <w:r w:rsidR="00413548">
        <w:rPr>
          <w:color w:val="000000"/>
        </w:rPr>
        <w:t>fıkrası</w:t>
      </w:r>
      <w:proofErr w:type="gramEnd"/>
      <w:r>
        <w:rPr>
          <w:color w:val="000000"/>
        </w:rPr>
        <w:t xml:space="preserve"> uyarınca, isnat edilen suçu işlediklerine dair makul bir şüphe olmaksızın tutuklandıklarından, tutuklanmalarına ilişkin kararların ilgili ve yeterli gerekçel</w:t>
      </w:r>
      <w:r>
        <w:rPr>
          <w:color w:val="000000"/>
        </w:rPr>
        <w:t xml:space="preserve">erin eşlik etmediğinden ve tutuklu kalma sürelerinin çok uzun olduğundan şikayetçi olmuşlardır. Bazı başvurucular ayrıca, 5. </w:t>
      </w:r>
      <w:proofErr w:type="gramStart"/>
      <w:r>
        <w:rPr>
          <w:color w:val="000000"/>
        </w:rPr>
        <w:t>maddenin</w:t>
      </w:r>
      <w:proofErr w:type="gramEnd"/>
      <w:r>
        <w:rPr>
          <w:color w:val="000000"/>
        </w:rPr>
        <w:t xml:space="preserve"> 4. </w:t>
      </w:r>
      <w:proofErr w:type="gramStart"/>
      <w:r>
        <w:rPr>
          <w:color w:val="000000"/>
        </w:rPr>
        <w:t>fıkrası</w:t>
      </w:r>
      <w:proofErr w:type="gramEnd"/>
      <w:r>
        <w:rPr>
          <w:color w:val="000000"/>
        </w:rPr>
        <w:t xml:space="preserve"> uyarınca, yerel mahkemeler tarafından </w:t>
      </w:r>
      <w:r>
        <w:rPr>
          <w:color w:val="000000"/>
        </w:rPr>
        <w:lastRenderedPageBreak/>
        <w:t>tutuklamalarına ilişkin yapılan incelemelerin belirli usuli güvencelere u</w:t>
      </w:r>
      <w:r>
        <w:rPr>
          <w:color w:val="000000"/>
        </w:rPr>
        <w:t xml:space="preserve">ymadığını ve/veya 5. </w:t>
      </w:r>
      <w:proofErr w:type="gramStart"/>
      <w:r>
        <w:rPr>
          <w:color w:val="000000"/>
        </w:rPr>
        <w:t>maddenin</w:t>
      </w:r>
      <w:proofErr w:type="gramEnd"/>
      <w:r>
        <w:rPr>
          <w:color w:val="000000"/>
        </w:rPr>
        <w:t xml:space="preserve"> 5. </w:t>
      </w:r>
      <w:proofErr w:type="gramStart"/>
      <w:r>
        <w:rPr>
          <w:color w:val="000000"/>
        </w:rPr>
        <w:t>fıkrası</w:t>
      </w:r>
      <w:proofErr w:type="gramEnd"/>
      <w:r>
        <w:rPr>
          <w:color w:val="000000"/>
        </w:rPr>
        <w:t xml:space="preserve"> uyarınca, 5. </w:t>
      </w:r>
      <w:proofErr w:type="gramStart"/>
      <w:r>
        <w:rPr>
          <w:color w:val="000000"/>
        </w:rPr>
        <w:t>madde</w:t>
      </w:r>
      <w:proofErr w:type="gramEnd"/>
      <w:r>
        <w:rPr>
          <w:color w:val="000000"/>
        </w:rPr>
        <w:t xml:space="preserve"> kapsamındaki haklarının iddia edilen ihlalleri için tazminat almalarına izin verecek etkili iç hukuk yollarının bulunmadığını ileri sürmüştür</w:t>
      </w:r>
      <w:r>
        <w:rPr>
          <w:color w:val="000000"/>
          <w:vertAlign w:val="superscript"/>
        </w:rPr>
        <w:footnoteReference w:id="1"/>
      </w:r>
      <w:r>
        <w:rPr>
          <w:color w:val="000000"/>
        </w:rPr>
        <w:t>.</w:t>
      </w:r>
    </w:p>
    <w:p w:rsidR="00380A26" w:rsidRDefault="0059142E">
      <w:pPr>
        <w:pBdr>
          <w:top w:val="nil"/>
          <w:left w:val="nil"/>
          <w:bottom w:val="nil"/>
          <w:right w:val="nil"/>
          <w:between w:val="nil"/>
        </w:pBdr>
        <w:ind w:firstLine="284"/>
        <w:jc w:val="both"/>
        <w:rPr>
          <w:color w:val="000000"/>
        </w:rPr>
      </w:pPr>
      <w:bookmarkStart w:id="29" w:name="_heading=h.3l18frh" w:colFirst="0" w:colLast="0"/>
      <w:bookmarkEnd w:id="29"/>
      <w:r>
        <w:rPr>
          <w:color w:val="000000"/>
        </w:rPr>
        <w:t>98. Mahkeme yukarıda, başvurucuların tutuklulukların</w:t>
      </w:r>
      <w:r>
        <w:rPr>
          <w:color w:val="000000"/>
        </w:rPr>
        <w:t xml:space="preserve">ın kanunla öngörülmediğini ve bu durumun hukukun üstünlüğünün temel ilkesine ve 5. </w:t>
      </w:r>
      <w:proofErr w:type="gramStart"/>
      <w:r>
        <w:rPr>
          <w:color w:val="000000"/>
        </w:rPr>
        <w:t>maddenin</w:t>
      </w:r>
      <w:proofErr w:type="gramEnd"/>
      <w:r>
        <w:rPr>
          <w:color w:val="000000"/>
        </w:rPr>
        <w:t xml:space="preserve"> her bireyi keyfilikten koruma amacına aykırı olduğunu tespit etmiştir. 5. </w:t>
      </w:r>
      <w:proofErr w:type="gramStart"/>
      <w:r>
        <w:rPr>
          <w:color w:val="000000"/>
        </w:rPr>
        <w:t>madde</w:t>
      </w:r>
      <w:proofErr w:type="gramEnd"/>
      <w:r>
        <w:rPr>
          <w:color w:val="000000"/>
        </w:rPr>
        <w:t xml:space="preserve"> kapsamında sağlanan korumanın özüne inen ve Sözleşme tarafından güvence altına alına</w:t>
      </w:r>
      <w:r>
        <w:rPr>
          <w:color w:val="000000"/>
        </w:rPr>
        <w:t>n temel haklardan birinin ihlalini içeren bu bulgunun önemini ve sonuçlarını ve Mahkeme’nin sınırlı kaynakları üzerinde ciddi bir baskı oluşturan darbe girişimi sonrası tutuklamalara ilişkin binlerce benzeri başvurunun mahkeme iş listesinde birikmesini göz</w:t>
      </w:r>
      <w:r>
        <w:rPr>
          <w:color w:val="000000"/>
        </w:rPr>
        <w:t xml:space="preserve"> önünde bulundurarak Mahkeme – yargı politikası gereği – bu zorlayıcı koşullarda, her bir başvurucu tarafından 5. </w:t>
      </w:r>
      <w:proofErr w:type="gramStart"/>
      <w:r>
        <w:rPr>
          <w:color w:val="000000"/>
        </w:rPr>
        <w:t>madde</w:t>
      </w:r>
      <w:proofErr w:type="gramEnd"/>
      <w:r>
        <w:rPr>
          <w:color w:val="000000"/>
        </w:rPr>
        <w:t xml:space="preserve"> kapsamında ileri sürülen her bir şikayetin kabul edilebilirliği ve esasına ilişkin ayrı incelemeden feragat etmenin</w:t>
      </w:r>
      <w:r>
        <w:t xml:space="preserve"> meşru</w:t>
      </w:r>
      <w:r>
        <w:rPr>
          <w:color w:val="000000"/>
        </w:rPr>
        <w:t xml:space="preserve"> olduğu kanaati</w:t>
      </w:r>
      <w:r>
        <w:rPr>
          <w:color w:val="000000"/>
        </w:rPr>
        <w:t xml:space="preserve">ndedir. Mahkeme ayrıca bu bağlamda, her bir başvurucu tarafından öne sürülen geri kalan şikayetlerin bireysel olarak incelenmesinin, başvuruculara yeterli bir fayda veya </w:t>
      </w:r>
      <w:r>
        <w:t>içtihadın</w:t>
      </w:r>
      <w:r>
        <w:rPr>
          <w:color w:val="000000"/>
        </w:rPr>
        <w:t xml:space="preserve"> gelişimine katkı sağlamadan, bu davaların görülmesini önemli ölçüde geciktir</w:t>
      </w:r>
      <w:r>
        <w:rPr>
          <w:color w:val="000000"/>
        </w:rPr>
        <w:t xml:space="preserve">eceğine işaret etmektedir. Ayrıca, bu şikayetlerin ortaya çıkardığı yasal sorunları büyük ölçüde ele aldığını kaydetmektedir (bakınız, özellikle </w:t>
      </w:r>
      <w:r>
        <w:rPr>
          <w:i/>
          <w:color w:val="000000"/>
        </w:rPr>
        <w:t>Selahattin Demirtaş</w:t>
      </w:r>
      <w:r>
        <w:rPr>
          <w:color w:val="000000"/>
        </w:rPr>
        <w:t xml:space="preserve"> (</w:t>
      </w:r>
      <w:r>
        <w:rPr>
          <w:i/>
          <w:color w:val="000000"/>
        </w:rPr>
        <w:t>no 2</w:t>
      </w:r>
      <w:r>
        <w:rPr>
          <w:color w:val="000000"/>
        </w:rPr>
        <w:t xml:space="preserve">), </w:t>
      </w:r>
      <w:r>
        <w:rPr>
          <w:i/>
          <w:color w:val="000000"/>
        </w:rPr>
        <w:t xml:space="preserve">Alparslan Altan </w:t>
      </w:r>
      <w:r>
        <w:rPr>
          <w:color w:val="000000"/>
        </w:rPr>
        <w:t xml:space="preserve">ve </w:t>
      </w:r>
      <w:r>
        <w:rPr>
          <w:i/>
          <w:color w:val="000000"/>
        </w:rPr>
        <w:t>Baş</w:t>
      </w:r>
      <w:r>
        <w:rPr>
          <w:color w:val="000000"/>
        </w:rPr>
        <w:t xml:space="preserve">, yukarıda anılan; </w:t>
      </w:r>
      <w:r>
        <w:rPr>
          <w:i/>
          <w:color w:val="000000"/>
        </w:rPr>
        <w:t>Atilla Taş v. Türkiye</w:t>
      </w:r>
      <w:r>
        <w:rPr>
          <w:color w:val="000000"/>
        </w:rPr>
        <w:t>, no. 72 /17, 19 Ocak</w:t>
      </w:r>
      <w:r>
        <w:rPr>
          <w:color w:val="000000"/>
        </w:rPr>
        <w:t xml:space="preserve"> 2021). Mahkeme, sürekli artan başvuru akışının tehdidi altında olan Sözleşme sisteminin uzun vadeli etkinliğini sağlamaya yönelik üstün çıkarların rehberliğinde, tam da bu olağanüstü bağlamdadır (bakınız, </w:t>
      </w:r>
      <w:r>
        <w:rPr>
          <w:i/>
          <w:color w:val="000000"/>
        </w:rPr>
        <w:t xml:space="preserve">kıyasen, Burmych ve </w:t>
      </w:r>
      <w:r>
        <w:rPr>
          <w:i/>
        </w:rPr>
        <w:t>d</w:t>
      </w:r>
      <w:r>
        <w:rPr>
          <w:i/>
          <w:color w:val="000000"/>
        </w:rPr>
        <w:t xml:space="preserve">iğerleri v. Ukrayna </w:t>
      </w:r>
      <w:r>
        <w:rPr>
          <w:color w:val="000000"/>
        </w:rPr>
        <w:t xml:space="preserve">(kayıttan düşürme) [BD], </w:t>
      </w:r>
      <w:proofErr w:type="gramStart"/>
      <w:r>
        <w:rPr>
          <w:color w:val="000000"/>
        </w:rPr>
        <w:t>no. 46852/13</w:t>
      </w:r>
      <w:proofErr w:type="gramEnd"/>
      <w:r>
        <w:rPr>
          <w:color w:val="000000"/>
        </w:rPr>
        <w:t xml:space="preserve"> ve diğerleri, §§ 111, 119 ve devamı, 157 ve 210, 12 Ekim 2017), başvurucuların 5. </w:t>
      </w:r>
      <w:proofErr w:type="gramStart"/>
      <w:r>
        <w:rPr>
          <w:color w:val="000000"/>
        </w:rPr>
        <w:t>madde</w:t>
      </w:r>
      <w:proofErr w:type="gramEnd"/>
      <w:r>
        <w:rPr>
          <w:color w:val="000000"/>
        </w:rPr>
        <w:t xml:space="preserve"> kapsamında kalan şikayetlerini </w:t>
      </w:r>
      <w:r>
        <w:t xml:space="preserve">incelenmemesine </w:t>
      </w:r>
      <w:r>
        <w:rPr>
          <w:color w:val="000000"/>
        </w:rPr>
        <w:t>karar vermektedir.</w:t>
      </w:r>
    </w:p>
    <w:p w:rsidR="00380A26" w:rsidRDefault="00380A26">
      <w:pPr>
        <w:pBdr>
          <w:top w:val="nil"/>
          <w:left w:val="nil"/>
          <w:bottom w:val="nil"/>
          <w:right w:val="nil"/>
          <w:between w:val="nil"/>
        </w:pBdr>
        <w:ind w:firstLine="284"/>
        <w:jc w:val="both"/>
        <w:rPr>
          <w:color w:val="000000"/>
        </w:rPr>
      </w:pPr>
    </w:p>
    <w:p w:rsidR="00380A26" w:rsidRDefault="0059142E">
      <w:pPr>
        <w:keepNext/>
        <w:keepLines/>
        <w:numPr>
          <w:ilvl w:val="1"/>
          <w:numId w:val="4"/>
        </w:numPr>
        <w:pBdr>
          <w:top w:val="nil"/>
          <w:left w:val="nil"/>
          <w:bottom w:val="nil"/>
          <w:right w:val="nil"/>
          <w:between w:val="nil"/>
        </w:pBdr>
        <w:tabs>
          <w:tab w:val="left" w:pos="454"/>
          <w:tab w:val="left" w:pos="539"/>
          <w:tab w:val="left" w:pos="624"/>
          <w:tab w:val="left" w:pos="709"/>
          <w:tab w:val="left" w:pos="794"/>
        </w:tabs>
        <w:spacing w:before="100" w:after="240"/>
        <w:jc w:val="both"/>
      </w:pPr>
      <w:r>
        <w:rPr>
          <w:smallCaps/>
          <w:color w:val="000000"/>
        </w:rPr>
        <w:t>SÖZLEŞME'NİN 41. MADDESİNİN UYGULANMASI</w:t>
      </w:r>
    </w:p>
    <w:p w:rsidR="00380A26" w:rsidRDefault="0059142E">
      <w:pPr>
        <w:pBdr>
          <w:top w:val="nil"/>
          <w:left w:val="nil"/>
          <w:bottom w:val="nil"/>
          <w:right w:val="nil"/>
          <w:between w:val="nil"/>
        </w:pBdr>
        <w:ind w:firstLine="284"/>
        <w:jc w:val="both"/>
        <w:rPr>
          <w:color w:val="000000"/>
        </w:rPr>
      </w:pPr>
      <w:r>
        <w:rPr>
          <w:color w:val="000000"/>
        </w:rPr>
        <w:t>99.  </w:t>
      </w:r>
      <w:proofErr w:type="gramStart"/>
      <w:r>
        <w:rPr>
          <w:color w:val="000000"/>
        </w:rPr>
        <w:t>Sözleşme’nin</w:t>
      </w:r>
      <w:proofErr w:type="gramEnd"/>
      <w:r>
        <w:rPr>
          <w:color w:val="000000"/>
        </w:rPr>
        <w:t xml:space="preserve"> 41. </w:t>
      </w:r>
      <w:proofErr w:type="gramStart"/>
      <w:r>
        <w:rPr>
          <w:color w:val="000000"/>
        </w:rPr>
        <w:t>m</w:t>
      </w:r>
      <w:r>
        <w:rPr>
          <w:color w:val="000000"/>
        </w:rPr>
        <w:t>addesi</w:t>
      </w:r>
      <w:proofErr w:type="gramEnd"/>
      <w:r>
        <w:rPr>
          <w:color w:val="000000"/>
        </w:rPr>
        <w:t xml:space="preserve"> şunu sağlamaktadır:</w:t>
      </w:r>
    </w:p>
    <w:p w:rsidR="00380A26" w:rsidRDefault="0059142E">
      <w:pPr>
        <w:pBdr>
          <w:top w:val="nil"/>
          <w:left w:val="nil"/>
          <w:bottom w:val="nil"/>
          <w:right w:val="nil"/>
          <w:between w:val="nil"/>
        </w:pBdr>
        <w:spacing w:before="120" w:after="120"/>
        <w:ind w:left="425" w:firstLine="142"/>
        <w:jc w:val="both"/>
        <w:rPr>
          <w:color w:val="000000"/>
          <w:sz w:val="20"/>
          <w:szCs w:val="20"/>
        </w:rPr>
      </w:pPr>
      <w:r>
        <w:rPr>
          <w:color w:val="000000"/>
          <w:sz w:val="20"/>
          <w:szCs w:val="20"/>
        </w:rPr>
        <w:t>“Eğer Mahkeme bu Sözleşme ve Protokollerinin ihlal edildiğine karar verirse ve ilgili Yüksek Sözleşmeci Taraf’ın iç hukuku bu ihlalin sonuçlarını ancak kısmen ortadan kaldırabiliyorsa, Mahkeme, gerektiği takdirde, zarar</w:t>
      </w:r>
      <w:r>
        <w:rPr>
          <w:color w:val="000000"/>
          <w:sz w:val="20"/>
          <w:szCs w:val="20"/>
        </w:rPr>
        <w:t xml:space="preserve"> gören taraf lehine adil bir tazmin verilmesine hükmeder.”</w:t>
      </w:r>
    </w:p>
    <w:p w:rsidR="00380A26" w:rsidRDefault="0059142E">
      <w:pPr>
        <w:pBdr>
          <w:top w:val="nil"/>
          <w:left w:val="nil"/>
          <w:bottom w:val="nil"/>
          <w:right w:val="nil"/>
          <w:between w:val="nil"/>
        </w:pBdr>
        <w:ind w:firstLine="284"/>
        <w:jc w:val="both"/>
        <w:rPr>
          <w:color w:val="000000"/>
        </w:rPr>
      </w:pPr>
      <w:r>
        <w:rPr>
          <w:color w:val="000000"/>
        </w:rPr>
        <w:t xml:space="preserve">100. Başvurucular, 5. </w:t>
      </w:r>
      <w:proofErr w:type="gramStart"/>
      <w:r>
        <w:rPr>
          <w:color w:val="000000"/>
        </w:rPr>
        <w:t>madde</w:t>
      </w:r>
      <w:proofErr w:type="gramEnd"/>
      <w:r>
        <w:rPr>
          <w:color w:val="000000"/>
        </w:rPr>
        <w:t xml:space="preserve"> kapsamında haklarının ihlal edildiği iddiasıyla manevi tazminat olarak değişen miktarlarda tazminat talep etmişlerdir. Başvurucuların çoğu ayrıca, esas olarak i</w:t>
      </w:r>
      <w:r>
        <w:t>hraç ed</w:t>
      </w:r>
      <w:r>
        <w:t>ilmelerinden</w:t>
      </w:r>
      <w:r>
        <w:rPr>
          <w:color w:val="000000"/>
        </w:rPr>
        <w:t xml:space="preserve"> kaynaklanan kazanç kayıplarının yanı sıra yerel mahkemeler ve Mahkeme </w:t>
      </w:r>
      <w:r>
        <w:rPr>
          <w:color w:val="000000"/>
        </w:rPr>
        <w:lastRenderedPageBreak/>
        <w:t xml:space="preserve">önünde yapılan yasal masraf ve harcamalara tekabül </w:t>
      </w:r>
      <w:proofErr w:type="gramStart"/>
      <w:r>
        <w:rPr>
          <w:color w:val="000000"/>
        </w:rPr>
        <w:t>eden</w:t>
      </w:r>
      <w:proofErr w:type="gramEnd"/>
      <w:r>
        <w:rPr>
          <w:color w:val="000000"/>
        </w:rPr>
        <w:t xml:space="preserve"> maddi tazminat talebinde bulunmuşlardır.</w:t>
      </w:r>
    </w:p>
    <w:p w:rsidR="00380A26" w:rsidRDefault="0059142E">
      <w:pPr>
        <w:pBdr>
          <w:top w:val="nil"/>
          <w:left w:val="nil"/>
          <w:bottom w:val="nil"/>
          <w:right w:val="nil"/>
          <w:between w:val="nil"/>
        </w:pBdr>
        <w:ind w:firstLine="284"/>
        <w:jc w:val="both"/>
        <w:rPr>
          <w:color w:val="000000"/>
        </w:rPr>
      </w:pPr>
      <w:r>
        <w:rPr>
          <w:color w:val="000000"/>
        </w:rPr>
        <w:t>101. Hükümet, başvur</w:t>
      </w:r>
      <w:r>
        <w:t>ucu</w:t>
      </w:r>
      <w:r>
        <w:rPr>
          <w:color w:val="000000"/>
        </w:rPr>
        <w:t>ların iddialarının ispatlanmamış ve aşırı olduğu kanaatindedir.</w:t>
      </w:r>
    </w:p>
    <w:p w:rsidR="00380A26" w:rsidRDefault="0059142E">
      <w:pPr>
        <w:keepNext/>
        <w:keepLines/>
        <w:numPr>
          <w:ilvl w:val="2"/>
          <w:numId w:val="4"/>
        </w:numPr>
        <w:pBdr>
          <w:top w:val="nil"/>
          <w:left w:val="nil"/>
          <w:bottom w:val="nil"/>
          <w:right w:val="nil"/>
          <w:between w:val="nil"/>
        </w:pBdr>
        <w:spacing w:before="100" w:after="240"/>
        <w:jc w:val="both"/>
      </w:pPr>
      <w:r>
        <w:rPr>
          <w:b/>
          <w:color w:val="000000"/>
        </w:rPr>
        <w:t>İlgili genel ilkeler</w:t>
      </w:r>
    </w:p>
    <w:p w:rsidR="00380A26" w:rsidRDefault="0059142E">
      <w:pPr>
        <w:pBdr>
          <w:top w:val="nil"/>
          <w:left w:val="nil"/>
          <w:bottom w:val="nil"/>
          <w:right w:val="nil"/>
          <w:between w:val="nil"/>
        </w:pBdr>
        <w:ind w:firstLine="284"/>
        <w:jc w:val="both"/>
        <w:rPr>
          <w:color w:val="000000"/>
        </w:rPr>
      </w:pPr>
      <w:bookmarkStart w:id="30" w:name="_heading=h.206ipza" w:colFirst="0" w:colLast="0"/>
      <w:bookmarkEnd w:id="30"/>
      <w:r>
        <w:rPr>
          <w:color w:val="000000"/>
        </w:rPr>
        <w:t xml:space="preserve">102.  Mahkeme, başlangıçta </w:t>
      </w:r>
      <w:proofErr w:type="gramStart"/>
      <w:r>
        <w:rPr>
          <w:color w:val="000000"/>
        </w:rPr>
        <w:t>Sözleşme'nin</w:t>
      </w:r>
      <w:proofErr w:type="gramEnd"/>
      <w:r>
        <w:rPr>
          <w:color w:val="000000"/>
        </w:rPr>
        <w:t xml:space="preserve"> 41. </w:t>
      </w:r>
      <w:proofErr w:type="gramStart"/>
      <w:r>
        <w:rPr>
          <w:color w:val="000000"/>
        </w:rPr>
        <w:t>maddesinin</w:t>
      </w:r>
      <w:proofErr w:type="gramEnd"/>
      <w:r>
        <w:rPr>
          <w:color w:val="000000"/>
        </w:rPr>
        <w:t xml:space="preserve">, zarar gören tarafa uygun gördüğü şekilde tazminata hükmetme yetkisi verdiğini yinelemektedir (bakınız </w:t>
      </w:r>
      <w:r>
        <w:rPr>
          <w:i/>
          <w:color w:val="000000"/>
        </w:rPr>
        <w:t>Karacsony ve diğerleri v. Macaristan</w:t>
      </w:r>
      <w:r>
        <w:rPr>
          <w:color w:val="000000"/>
        </w:rPr>
        <w:t xml:space="preserve"> [BD], no. 42461/13 ve 44357/13, § 179, 17 Mayıs 2016).</w:t>
      </w:r>
    </w:p>
    <w:p w:rsidR="00380A26" w:rsidRDefault="0059142E">
      <w:pPr>
        <w:pBdr>
          <w:top w:val="nil"/>
          <w:left w:val="nil"/>
          <w:bottom w:val="nil"/>
          <w:right w:val="nil"/>
          <w:between w:val="nil"/>
        </w:pBdr>
        <w:ind w:firstLine="284"/>
        <w:jc w:val="both"/>
        <w:rPr>
          <w:color w:val="000000"/>
        </w:rPr>
      </w:pPr>
      <w:bookmarkStart w:id="31" w:name="_heading=h.4k668n3" w:colFirst="0" w:colLast="0"/>
      <w:bookmarkEnd w:id="31"/>
      <w:r>
        <w:rPr>
          <w:color w:val="000000"/>
        </w:rPr>
        <w:t xml:space="preserve">103.  Ancak Mahkeme 41. </w:t>
      </w:r>
      <w:proofErr w:type="gramStart"/>
      <w:r>
        <w:rPr>
          <w:color w:val="000000"/>
        </w:rPr>
        <w:t>madde</w:t>
      </w:r>
      <w:proofErr w:type="gramEnd"/>
      <w:r>
        <w:rPr>
          <w:color w:val="000000"/>
        </w:rPr>
        <w:t xml:space="preserve"> kapsamındaki görevinin, kusuru ve tazmin edici zararları müdahil taraflar arasında paylaştırmada yerel bir haksız fiil mekanizması mah</w:t>
      </w:r>
      <w:r>
        <w:rPr>
          <w:color w:val="000000"/>
        </w:rPr>
        <w:t xml:space="preserve">kemesine benzer şekilde çalışmadığını da yinelemektedir (bakınız </w:t>
      </w:r>
      <w:r>
        <w:rPr>
          <w:i/>
          <w:color w:val="000000"/>
        </w:rPr>
        <w:t>Al Jedda v. Birleşik Krallık</w:t>
      </w:r>
      <w:r>
        <w:rPr>
          <w:color w:val="000000"/>
        </w:rPr>
        <w:t xml:space="preserve"> [BD], no. 27021/08, § 114, ECHR 2011). Mahkeme, Sözleşme'yi imzalayan Devletlerin rızasına bağlı uluslararası bir adli makamdır ve başlıca görevi, başvurucuların </w:t>
      </w:r>
      <w:r>
        <w:rPr>
          <w:color w:val="000000"/>
        </w:rPr>
        <w:t>kayıplarını ayrıntılı ve kapsamlı bir şekilde tazmin etmekten ziyade insan haklarına saygı gösterilmesini sağlamaktır. Ulusal yargı alanlarından farklı olarak, Mahkeme'nin faaliyetinin vurgusu, Avrupa genelinde insan hakları standartlarını belirleyen umumi</w:t>
      </w:r>
      <w:r>
        <w:rPr>
          <w:color w:val="000000"/>
        </w:rPr>
        <w:t xml:space="preserve"> kararlarına hükmetmek üzerinedir (bakınız, kıyasen, </w:t>
      </w:r>
      <w:r>
        <w:rPr>
          <w:i/>
          <w:color w:val="000000"/>
        </w:rPr>
        <w:t>Goncharova ve diğer “İmtiyazlı Emekliler” davaları v. Rusya</w:t>
      </w:r>
      <w:r>
        <w:rPr>
          <w:color w:val="000000"/>
        </w:rPr>
        <w:t xml:space="preserve">, no. 23113/08 ve diğer 68 başvuru, § 22, 15 Ekim 2009 ve </w:t>
      </w:r>
      <w:r>
        <w:rPr>
          <w:i/>
          <w:color w:val="000000"/>
        </w:rPr>
        <w:t>Nosov ve diğerleri v. Rusya</w:t>
      </w:r>
      <w:r>
        <w:rPr>
          <w:color w:val="000000"/>
        </w:rPr>
        <w:t>, no. 9117/04 ve 10441/ 04, § 68, 20 Şubat 2014). Buna göre</w:t>
      </w:r>
      <w:r>
        <w:rPr>
          <w:color w:val="000000"/>
        </w:rPr>
        <w:t xml:space="preserve">, başvuruculara adil tazmin yoluyla para ödenmesi Mahkeme'nin ana görevlerinden biri değildir, ancak </w:t>
      </w:r>
      <w:proofErr w:type="gramStart"/>
      <w:r>
        <w:rPr>
          <w:color w:val="000000"/>
        </w:rPr>
        <w:t>Sözleşme'nin</w:t>
      </w:r>
      <w:proofErr w:type="gramEnd"/>
      <w:r>
        <w:rPr>
          <w:color w:val="000000"/>
        </w:rPr>
        <w:t xml:space="preserve"> 19. </w:t>
      </w:r>
      <w:proofErr w:type="gramStart"/>
      <w:r>
        <w:rPr>
          <w:color w:val="000000"/>
        </w:rPr>
        <w:t>maddesi</w:t>
      </w:r>
      <w:proofErr w:type="gramEnd"/>
      <w:r>
        <w:rPr>
          <w:color w:val="000000"/>
        </w:rPr>
        <w:t xml:space="preserve"> kapsamındaki Devletlerin Sözleşme kapsamındaki yükümlülüklerini yerine getirmelerini sağlama göreviyle bağlantılıdır (bakınız, örn</w:t>
      </w:r>
      <w:r>
        <w:rPr>
          <w:color w:val="000000"/>
        </w:rPr>
        <w:t xml:space="preserve">eğin, </w:t>
      </w:r>
      <w:r>
        <w:rPr>
          <w:i/>
          <w:color w:val="000000"/>
        </w:rPr>
        <w:t>Nagmetov v. Rusya</w:t>
      </w:r>
      <w:r>
        <w:rPr>
          <w:color w:val="000000"/>
        </w:rPr>
        <w:t xml:space="preserve"> [BD], no. 35589/08, § 64, 30 Mart 2017).</w:t>
      </w:r>
    </w:p>
    <w:p w:rsidR="00380A26" w:rsidRDefault="0059142E">
      <w:pPr>
        <w:pBdr>
          <w:top w:val="nil"/>
          <w:left w:val="nil"/>
          <w:bottom w:val="nil"/>
          <w:right w:val="nil"/>
          <w:between w:val="nil"/>
        </w:pBdr>
        <w:ind w:firstLine="284"/>
        <w:jc w:val="both"/>
        <w:rPr>
          <w:color w:val="000000"/>
        </w:rPr>
      </w:pPr>
      <w:bookmarkStart w:id="32" w:name="_heading=h.2zbgiuw" w:colFirst="0" w:colLast="0"/>
      <w:bookmarkEnd w:id="32"/>
      <w:r>
        <w:rPr>
          <w:color w:val="000000"/>
        </w:rPr>
        <w:t xml:space="preserve">104.  Mahkeme ayrıca, “adil” sıfatından ve “gerektiğinde” ifadesinden de anlaşılacağı üzere, 41. </w:t>
      </w:r>
      <w:proofErr w:type="gramStart"/>
      <w:r>
        <w:rPr>
          <w:color w:val="000000"/>
        </w:rPr>
        <w:t>maddenin</w:t>
      </w:r>
      <w:proofErr w:type="gramEnd"/>
      <w:r>
        <w:rPr>
          <w:color w:val="000000"/>
        </w:rPr>
        <w:t xml:space="preserve"> verdiği yetkinin kullanılmasında belirli bir takdir yetkisine sahip olduğunu kaydeder</w:t>
      </w:r>
      <w:r>
        <w:rPr>
          <w:color w:val="000000"/>
        </w:rPr>
        <w:t xml:space="preserve"> (bakınız, örneğin, </w:t>
      </w:r>
      <w:r>
        <w:rPr>
          <w:i/>
          <w:color w:val="000000"/>
        </w:rPr>
        <w:t>Arvanitaki-Roboti ve diğerleri v. Yunanistan</w:t>
      </w:r>
      <w:r>
        <w:rPr>
          <w:color w:val="000000"/>
        </w:rPr>
        <w:t xml:space="preserve"> [BD], no. 27278/03, § 32, 15 Şubat 2008). Bu tür bir takdir yetkisinin kullanılması, parasal tazminatın reddedilmesi veya ödenmesine hükmedilen miktarın azaltılması gibi kararları kapsamaktad</w:t>
      </w:r>
      <w:r>
        <w:rPr>
          <w:color w:val="000000"/>
        </w:rPr>
        <w:t xml:space="preserve">ır (bakınız </w:t>
      </w:r>
      <w:r>
        <w:rPr>
          <w:i/>
          <w:color w:val="000000"/>
        </w:rPr>
        <w:t xml:space="preserve">Arvanitaki-Roboti ve diğerleri v. Yunanistan </w:t>
      </w:r>
      <w:r>
        <w:rPr>
          <w:color w:val="000000"/>
        </w:rPr>
        <w:t xml:space="preserve">[BD], no. 27278/03, § 32, 15 Şubat 2008). </w:t>
      </w:r>
      <w:proofErr w:type="gramStart"/>
      <w:r>
        <w:rPr>
          <w:color w:val="000000"/>
        </w:rPr>
        <w:t>Mahkeme'nin bu konudaki yol gösterici ilkesi, her şeyden önce esnekliği ve yalnızca başvurucunun konumu değil, genel bağlam da dahil olmak üzere davanın ihla</w:t>
      </w:r>
      <w:r>
        <w:rPr>
          <w:color w:val="000000"/>
        </w:rPr>
        <w:t xml:space="preserve">lin meydana geldiği tüm koşullarda neyin uygun, adil ve makul olduğuna ilişkin nesnel bir değerlendirmeyi içeren eşitliktir (bakınız </w:t>
      </w:r>
      <w:r>
        <w:rPr>
          <w:i/>
          <w:color w:val="000000"/>
        </w:rPr>
        <w:t xml:space="preserve">Varnava ve diğerleri v. Türkiye </w:t>
      </w:r>
      <w:r>
        <w:rPr>
          <w:color w:val="000000"/>
        </w:rPr>
        <w:t xml:space="preserve">[BD], no. 16064/90 ve diğer 8 başvuru, § 224, ECHR 2009 ve </w:t>
      </w:r>
      <w:r>
        <w:rPr>
          <w:i/>
          <w:color w:val="000000"/>
        </w:rPr>
        <w:t>Al-Jedda</w:t>
      </w:r>
      <w:r>
        <w:rPr>
          <w:color w:val="000000"/>
        </w:rPr>
        <w:t>, yukarıda anılan, § 114</w:t>
      </w:r>
      <w:r>
        <w:rPr>
          <w:color w:val="000000"/>
        </w:rPr>
        <w:t>).</w:t>
      </w:r>
      <w:proofErr w:type="gramEnd"/>
    </w:p>
    <w:p w:rsidR="00380A26" w:rsidRDefault="00380A26">
      <w:pPr>
        <w:pBdr>
          <w:top w:val="nil"/>
          <w:left w:val="nil"/>
          <w:bottom w:val="nil"/>
          <w:right w:val="nil"/>
          <w:between w:val="nil"/>
        </w:pBdr>
        <w:ind w:firstLine="284"/>
        <w:jc w:val="both"/>
        <w:rPr>
          <w:color w:val="000000"/>
        </w:rPr>
      </w:pPr>
    </w:p>
    <w:p w:rsidR="00380A26" w:rsidRDefault="0059142E">
      <w:pPr>
        <w:keepNext/>
        <w:keepLines/>
        <w:numPr>
          <w:ilvl w:val="2"/>
          <w:numId w:val="4"/>
        </w:numPr>
        <w:pBdr>
          <w:top w:val="nil"/>
          <w:left w:val="nil"/>
          <w:bottom w:val="nil"/>
          <w:right w:val="nil"/>
          <w:between w:val="nil"/>
        </w:pBdr>
        <w:spacing w:before="100" w:after="240"/>
        <w:jc w:val="both"/>
      </w:pPr>
      <w:r>
        <w:rPr>
          <w:b/>
          <w:color w:val="000000"/>
        </w:rPr>
        <w:lastRenderedPageBreak/>
        <w:t>Bu ilkelerin mevcut davanın koşullarına uygulanması</w:t>
      </w:r>
    </w:p>
    <w:p w:rsidR="00380A26" w:rsidRDefault="0059142E">
      <w:pPr>
        <w:pBdr>
          <w:top w:val="nil"/>
          <w:left w:val="nil"/>
          <w:bottom w:val="nil"/>
          <w:right w:val="nil"/>
          <w:between w:val="nil"/>
        </w:pBdr>
        <w:ind w:firstLine="284"/>
        <w:jc w:val="both"/>
        <w:rPr>
          <w:color w:val="000000"/>
        </w:rPr>
      </w:pPr>
      <w:r>
        <w:rPr>
          <w:color w:val="000000"/>
        </w:rPr>
        <w:t>105. Başvurucuların, işten çıkarılmaları nedeniyle uğradıkları kazanç kayıpları nedeniyle uğradıklarını iddia ettikleri maddi tazminat taleplerine ilişkin olarak Mahkeme, mevcut kararın, başvurucuları</w:t>
      </w:r>
      <w:r>
        <w:rPr>
          <w:color w:val="000000"/>
        </w:rPr>
        <w:t>n yargıçlık veya savcılıktan ihraç edilmeleriyle değil, tutukluluk halleriyle ilgili olduğunu gözlemlemektedir. Buna göre, tespit edilen ihlal ile iddia edilen maddi tazminat arasında nedensel bir bağ görememekte ve bu nedenle bu başlık altındaki talepleri</w:t>
      </w:r>
      <w:r>
        <w:rPr>
          <w:color w:val="000000"/>
        </w:rPr>
        <w:t xml:space="preserve"> reddetmektedir (bakınız, benzer bir tespit için, </w:t>
      </w:r>
      <w:r>
        <w:rPr>
          <w:i/>
          <w:color w:val="000000"/>
        </w:rPr>
        <w:t>Alparslan Altan</w:t>
      </w:r>
      <w:r>
        <w:rPr>
          <w:color w:val="000000"/>
        </w:rPr>
        <w:t xml:space="preserve">, yukarıda anılan, § 154 ve </w:t>
      </w:r>
      <w:r>
        <w:rPr>
          <w:i/>
          <w:color w:val="000000"/>
        </w:rPr>
        <w:t>Baş</w:t>
      </w:r>
      <w:r>
        <w:rPr>
          <w:color w:val="000000"/>
        </w:rPr>
        <w:t>, yukarıda anılan, § 289).</w:t>
      </w:r>
    </w:p>
    <w:p w:rsidR="00380A26" w:rsidRDefault="0059142E">
      <w:pPr>
        <w:pBdr>
          <w:top w:val="nil"/>
          <w:left w:val="nil"/>
          <w:bottom w:val="nil"/>
          <w:right w:val="nil"/>
          <w:between w:val="nil"/>
        </w:pBdr>
        <w:ind w:firstLine="284"/>
        <w:jc w:val="both"/>
        <w:rPr>
          <w:color w:val="000000"/>
        </w:rPr>
      </w:pPr>
      <w:r>
        <w:rPr>
          <w:color w:val="000000"/>
        </w:rPr>
        <w:t>106.  Başvurucuların manevi tazminat taleplerinin geri kalanına ve masraf ve giderlere ilişkin olarak Mahkeme hakkaniyet içinde karar</w:t>
      </w:r>
      <w:r>
        <w:rPr>
          <w:color w:val="000000"/>
        </w:rPr>
        <w:t xml:space="preserve"> vermeyi ve bu bağlamda yukarıda belirtilen genel ilkelerin yanı sıra sahip olduğu materyalleri, içtihatlarını, mevcut davada incelenen hukuki konuların mükerrer niteliğini ve önünde bekleyen benzer başvuruların sayısını dikkate alarak toplu ve tek tip bir</w:t>
      </w:r>
      <w:r>
        <w:rPr>
          <w:color w:val="000000"/>
        </w:rPr>
        <w:t xml:space="preserve"> değerlendirme yapmayı uygun bulmaktadır. Buna göre, başvurucuların her birine, manevi tazminat ile masraf ve giderleri ve bu tutar üzerinden yüklenebilecek her türlü vergiyi kapsayan toplam 5.000 Euro ödenmesinin makul olduğu kanaatindedir.</w:t>
      </w:r>
    </w:p>
    <w:p w:rsidR="00380A26" w:rsidRDefault="0059142E">
      <w:pPr>
        <w:pBdr>
          <w:top w:val="nil"/>
          <w:left w:val="nil"/>
          <w:bottom w:val="nil"/>
          <w:right w:val="nil"/>
          <w:between w:val="nil"/>
        </w:pBdr>
        <w:ind w:firstLine="284"/>
        <w:jc w:val="both"/>
        <w:rPr>
          <w:color w:val="000000"/>
        </w:rPr>
      </w:pPr>
      <w:r>
        <w:rPr>
          <w:color w:val="000000"/>
        </w:rPr>
        <w:t xml:space="preserve">107. Mahkeme, </w:t>
      </w:r>
      <w:r>
        <w:rPr>
          <w:color w:val="000000"/>
        </w:rPr>
        <w:t>gecik</w:t>
      </w:r>
      <w:r>
        <w:t>me</w:t>
      </w:r>
      <w:r>
        <w:rPr>
          <w:color w:val="000000"/>
        </w:rPr>
        <w:t xml:space="preserve"> faiz oranının Avrupa Merkez </w:t>
      </w:r>
      <w:proofErr w:type="gramStart"/>
      <w:r>
        <w:rPr>
          <w:color w:val="000000"/>
        </w:rPr>
        <w:t>Bankası'nın</w:t>
      </w:r>
      <w:proofErr w:type="gramEnd"/>
      <w:r>
        <w:rPr>
          <w:color w:val="000000"/>
        </w:rPr>
        <w:t xml:space="preserve"> marjinal borç verme oranına dayanmasının</w:t>
      </w:r>
      <w:r w:rsidR="00F179FB">
        <w:rPr>
          <w:color w:val="000000"/>
        </w:rPr>
        <w:t xml:space="preserve"> uygun olduğunu ve buna yüzde üç</w:t>
      </w:r>
      <w:r>
        <w:rPr>
          <w:color w:val="000000"/>
        </w:rPr>
        <w:t xml:space="preserve"> eklenmesi gerektiğini düşünmektedir.</w:t>
      </w:r>
    </w:p>
    <w:p w:rsidR="00380A26" w:rsidRDefault="00380A26">
      <w:pPr>
        <w:pBdr>
          <w:top w:val="nil"/>
          <w:left w:val="nil"/>
          <w:bottom w:val="nil"/>
          <w:right w:val="nil"/>
          <w:between w:val="nil"/>
        </w:pBdr>
        <w:ind w:firstLine="284"/>
        <w:jc w:val="both"/>
        <w:rPr>
          <w:color w:val="000000"/>
        </w:rPr>
      </w:pPr>
    </w:p>
    <w:p w:rsidR="00380A26" w:rsidRDefault="0059142E">
      <w:pPr>
        <w:keepNext/>
        <w:keepLines/>
        <w:pBdr>
          <w:top w:val="nil"/>
          <w:left w:val="nil"/>
          <w:bottom w:val="nil"/>
          <w:right w:val="nil"/>
          <w:between w:val="nil"/>
        </w:pBdr>
        <w:spacing w:before="100" w:after="240"/>
        <w:ind w:left="360" w:hanging="360"/>
        <w:jc w:val="both"/>
        <w:rPr>
          <w:smallCaps/>
          <w:color w:val="000000"/>
          <w:sz w:val="28"/>
          <w:szCs w:val="28"/>
        </w:rPr>
      </w:pPr>
      <w:r>
        <w:rPr>
          <w:smallCaps/>
          <w:color w:val="000000"/>
          <w:sz w:val="28"/>
          <w:szCs w:val="28"/>
        </w:rPr>
        <w:t>BU NEDENLERLE MAHKEME</w:t>
      </w:r>
      <w:r>
        <w:rPr>
          <w:smallCaps/>
          <w:sz w:val="28"/>
          <w:szCs w:val="28"/>
        </w:rPr>
        <w:t>;</w:t>
      </w:r>
    </w:p>
    <w:p w:rsidR="00380A26" w:rsidRDefault="0059142E">
      <w:pPr>
        <w:numPr>
          <w:ilvl w:val="0"/>
          <w:numId w:val="2"/>
        </w:numPr>
        <w:pBdr>
          <w:top w:val="nil"/>
          <w:left w:val="nil"/>
          <w:bottom w:val="nil"/>
          <w:right w:val="nil"/>
          <w:between w:val="nil"/>
        </w:pBdr>
        <w:tabs>
          <w:tab w:val="left" w:pos="340"/>
        </w:tabs>
        <w:spacing w:before="280" w:after="60"/>
        <w:jc w:val="both"/>
        <w:rPr>
          <w:color w:val="000000"/>
        </w:rPr>
      </w:pPr>
      <w:r>
        <w:rPr>
          <w:color w:val="000000"/>
        </w:rPr>
        <w:t>Oybirliğiyle başvuruları birleştirmeye,</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Oybirliğiyle,</w:t>
      </w:r>
      <w:r>
        <w:t xml:space="preserve"> </w:t>
      </w:r>
      <w:r>
        <w:rPr>
          <w:color w:val="000000"/>
        </w:rPr>
        <w:t xml:space="preserve">başvurucuların ilk tutukluluk hallerinin hukuka uygunluğuna ilişkin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fıkrası kapsamındaki şikayetin kabul edilebilir olduğuna,</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Oybirliğiyle, tutuklu bulundukları sırada</w:t>
      </w:r>
      <w:r>
        <w:t xml:space="preserve"> </w:t>
      </w:r>
      <w:r>
        <w:t>normal</w:t>
      </w:r>
      <w:r>
        <w:rPr>
          <w:color w:val="000000"/>
        </w:rPr>
        <w:t xml:space="preserve"> hakim ve savcı olan başvurucuların ilk tutukluluk h</w:t>
      </w:r>
      <w:r>
        <w:rPr>
          <w:color w:val="000000"/>
        </w:rPr>
        <w:t xml:space="preserve">allerinin hukuka aykırılığı nedeniyle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1. fıkrasının ihlal edildiğine,</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 xml:space="preserve">Oybirliğiyle, ilgili tarihte Yargıtay veya Danıştay üyesi olan başvurucuların ilk tutukluluk hallerinin hukuka aykırılığı nedeniyle </w:t>
      </w:r>
      <w:proofErr w:type="gramStart"/>
      <w:r>
        <w:rPr>
          <w:color w:val="000000"/>
        </w:rPr>
        <w:t>Sözleşme'nin</w:t>
      </w:r>
      <w:proofErr w:type="gramEnd"/>
      <w:r>
        <w:rPr>
          <w:color w:val="000000"/>
        </w:rPr>
        <w:t xml:space="preserve"> 5. </w:t>
      </w:r>
      <w:proofErr w:type="gramStart"/>
      <w:r>
        <w:rPr>
          <w:color w:val="000000"/>
        </w:rPr>
        <w:t>maddesinin</w:t>
      </w:r>
      <w:proofErr w:type="gramEnd"/>
      <w:r>
        <w:rPr>
          <w:color w:val="000000"/>
        </w:rPr>
        <w:t xml:space="preserve"> </w:t>
      </w:r>
      <w:r>
        <w:rPr>
          <w:color w:val="000000"/>
        </w:rPr>
        <w:t>1. fıkrasının ihlal edildiğine;</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 xml:space="preserve">Bire karşı altı oyla, başvurucuların </w:t>
      </w:r>
      <w:proofErr w:type="gramStart"/>
      <w:r>
        <w:rPr>
          <w:color w:val="000000"/>
        </w:rPr>
        <w:t>Sözleşme'nin</w:t>
      </w:r>
      <w:proofErr w:type="gramEnd"/>
      <w:r>
        <w:rPr>
          <w:color w:val="000000"/>
        </w:rPr>
        <w:t xml:space="preserve"> 5. maddesi kapsamında kalan şikayetlerinin kabul edilebilirliğini ve esasını incelemeye gerek olmadığına;</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Oybirliğiyle,</w:t>
      </w:r>
    </w:p>
    <w:p w:rsidR="00380A26" w:rsidRDefault="0059142E">
      <w:pPr>
        <w:numPr>
          <w:ilvl w:val="1"/>
          <w:numId w:val="3"/>
        </w:numPr>
        <w:pBdr>
          <w:top w:val="nil"/>
          <w:left w:val="nil"/>
          <w:bottom w:val="nil"/>
          <w:right w:val="nil"/>
          <w:between w:val="nil"/>
        </w:pBdr>
        <w:tabs>
          <w:tab w:val="left" w:pos="680"/>
        </w:tabs>
        <w:jc w:val="both"/>
      </w:pPr>
      <w:r>
        <w:rPr>
          <w:color w:val="000000"/>
        </w:rPr>
        <w:lastRenderedPageBreak/>
        <w:t xml:space="preserve">Taraf Devlet'in, manevi tazminat ve masraf ve giderler ile bu tutarlar üzerinden ödenmesi gereken ve ödeme tarihinde geçerli olan kur üzerinden Taraf Devlet’in para birimine çevrilecek her türlü vergi ile ilgili olarak, </w:t>
      </w:r>
      <w:proofErr w:type="gramStart"/>
      <w:r>
        <w:rPr>
          <w:color w:val="000000"/>
        </w:rPr>
        <w:t>Sözleşme’nin</w:t>
      </w:r>
      <w:proofErr w:type="gramEnd"/>
      <w:r>
        <w:rPr>
          <w:color w:val="000000"/>
        </w:rPr>
        <w:t xml:space="preserve"> 44. </w:t>
      </w:r>
      <w:proofErr w:type="gramStart"/>
      <w:r>
        <w:rPr>
          <w:color w:val="000000"/>
        </w:rPr>
        <w:t>maddesinin</w:t>
      </w:r>
      <w:proofErr w:type="gramEnd"/>
      <w:r>
        <w:rPr>
          <w:color w:val="000000"/>
        </w:rPr>
        <w:t xml:space="preserve"> 2. fıkra</w:t>
      </w:r>
      <w:r>
        <w:rPr>
          <w:color w:val="000000"/>
        </w:rPr>
        <w:t>sı uyarınca kararın kesinleştiği tarihten itibaren üç ay içinde başvurucuların her birine 5.000 Euro ödemesine;</w:t>
      </w:r>
    </w:p>
    <w:p w:rsidR="00380A26" w:rsidRDefault="00380A26">
      <w:pPr>
        <w:pBdr>
          <w:top w:val="nil"/>
          <w:left w:val="nil"/>
          <w:bottom w:val="nil"/>
          <w:right w:val="nil"/>
          <w:between w:val="nil"/>
        </w:pBdr>
        <w:tabs>
          <w:tab w:val="left" w:pos="680"/>
        </w:tabs>
        <w:jc w:val="both"/>
        <w:rPr>
          <w:color w:val="000000"/>
        </w:rPr>
      </w:pPr>
    </w:p>
    <w:p w:rsidR="00380A26" w:rsidRDefault="0059142E">
      <w:pPr>
        <w:numPr>
          <w:ilvl w:val="1"/>
          <w:numId w:val="3"/>
        </w:numPr>
        <w:pBdr>
          <w:top w:val="nil"/>
          <w:left w:val="nil"/>
          <w:bottom w:val="nil"/>
          <w:right w:val="nil"/>
          <w:between w:val="nil"/>
        </w:pBdr>
        <w:tabs>
          <w:tab w:val="left" w:pos="680"/>
        </w:tabs>
        <w:jc w:val="both"/>
      </w:pPr>
      <w:r>
        <w:rPr>
          <w:color w:val="000000"/>
        </w:rPr>
        <w:t>yukarıda belirtilen üç aylık sürenin bitiminden ödemeye kadar yukarıdaki tutara, gecikme süresi boyunca Avrupa Merkez Bankası'nın marjinal borç</w:t>
      </w:r>
      <w:r>
        <w:rPr>
          <w:color w:val="000000"/>
        </w:rPr>
        <w:t xml:space="preserve"> verme faiz oranına ek yüzde üç oranında basit faiz ödemesine;</w:t>
      </w:r>
    </w:p>
    <w:p w:rsidR="00380A26" w:rsidRDefault="0059142E">
      <w:pPr>
        <w:numPr>
          <w:ilvl w:val="0"/>
          <w:numId w:val="3"/>
        </w:numPr>
        <w:pBdr>
          <w:top w:val="nil"/>
          <w:left w:val="nil"/>
          <w:bottom w:val="nil"/>
          <w:right w:val="nil"/>
          <w:between w:val="nil"/>
        </w:pBdr>
        <w:tabs>
          <w:tab w:val="left" w:pos="340"/>
        </w:tabs>
        <w:spacing w:before="280" w:after="60"/>
        <w:jc w:val="both"/>
      </w:pPr>
      <w:r>
        <w:rPr>
          <w:color w:val="000000"/>
        </w:rPr>
        <w:t>Oybirliğiyle başvurucuların adil tazmin talebinin geri kalanını reddedilmesine,</w:t>
      </w:r>
    </w:p>
    <w:p w:rsidR="00380A26" w:rsidRDefault="0059142E">
      <w:pPr>
        <w:pBdr>
          <w:top w:val="nil"/>
          <w:left w:val="nil"/>
          <w:bottom w:val="nil"/>
          <w:right w:val="nil"/>
          <w:between w:val="nil"/>
        </w:pBdr>
        <w:tabs>
          <w:tab w:val="left" w:pos="340"/>
        </w:tabs>
        <w:spacing w:before="280" w:after="60"/>
        <w:jc w:val="both"/>
        <w:rPr>
          <w:color w:val="000000"/>
        </w:rPr>
      </w:pPr>
      <w:r>
        <w:rPr>
          <w:color w:val="000000"/>
        </w:rPr>
        <w:t>Karar vermiştir.</w:t>
      </w:r>
    </w:p>
    <w:p w:rsidR="00380A26" w:rsidRDefault="0059142E">
      <w:pPr>
        <w:keepNext/>
        <w:keepLines/>
        <w:pBdr>
          <w:top w:val="nil"/>
          <w:left w:val="nil"/>
          <w:bottom w:val="nil"/>
          <w:right w:val="nil"/>
          <w:between w:val="nil"/>
        </w:pBdr>
        <w:spacing w:before="240" w:after="240"/>
        <w:ind w:firstLine="284"/>
        <w:jc w:val="both"/>
      </w:pPr>
      <w:r>
        <w:rPr>
          <w:color w:val="000000"/>
        </w:rPr>
        <w:t>Mahkeme İçtüzüğü'nün 77 §§ </w:t>
      </w:r>
      <w:proofErr w:type="gramStart"/>
      <w:r>
        <w:rPr>
          <w:color w:val="000000"/>
        </w:rPr>
        <w:t>2</w:t>
      </w:r>
      <w:proofErr w:type="gramEnd"/>
      <w:r>
        <w:rPr>
          <w:color w:val="000000"/>
        </w:rPr>
        <w:t xml:space="preserve"> ve 3. </w:t>
      </w:r>
      <w:proofErr w:type="gramStart"/>
      <w:r>
        <w:rPr>
          <w:color w:val="000000"/>
        </w:rPr>
        <w:t>maddesi</w:t>
      </w:r>
      <w:proofErr w:type="gramEnd"/>
      <w:r>
        <w:rPr>
          <w:color w:val="000000"/>
        </w:rPr>
        <w:t xml:space="preserve"> uyarınca karar İngilizce olarak hazırlanmış ve 23 Kasım 2021'de yazılı olarak bildirilmiştir.</w:t>
      </w:r>
    </w:p>
    <w:p w:rsidR="00380A26" w:rsidRDefault="0059142E">
      <w:pPr>
        <w:pBdr>
          <w:top w:val="nil"/>
          <w:left w:val="nil"/>
          <w:bottom w:val="nil"/>
          <w:right w:val="nil"/>
          <w:between w:val="nil"/>
        </w:pBdr>
        <w:tabs>
          <w:tab w:val="center" w:pos="1418"/>
          <w:tab w:val="center" w:pos="5954"/>
        </w:tabs>
        <w:spacing w:before="720"/>
      </w:pPr>
      <w:r>
        <w:rPr>
          <w:color w:val="000000"/>
        </w:rPr>
        <w:tab/>
        <w:t>Hasan Bakırcı</w:t>
      </w:r>
      <w:r>
        <w:rPr>
          <w:color w:val="000000"/>
        </w:rPr>
        <w:tab/>
        <w:t>Jon Fridrik Kjølbro</w:t>
      </w:r>
      <w:r>
        <w:rPr>
          <w:color w:val="000000"/>
        </w:rPr>
        <w:br/>
      </w:r>
      <w:r>
        <w:rPr>
          <w:color w:val="000000"/>
        </w:rPr>
        <w:tab/>
      </w:r>
      <w:r>
        <w:t>Bölüm Yazı İşleri Müdürü</w:t>
      </w:r>
      <w:r>
        <w:rPr>
          <w:color w:val="000000"/>
        </w:rPr>
        <w:tab/>
      </w:r>
      <w:r>
        <w:t>Başkan</w:t>
      </w:r>
    </w:p>
    <w:p w:rsidR="00380A26" w:rsidRDefault="00380A26">
      <w:pPr>
        <w:pBdr>
          <w:top w:val="nil"/>
          <w:left w:val="nil"/>
          <w:bottom w:val="nil"/>
          <w:right w:val="nil"/>
          <w:between w:val="nil"/>
        </w:pBdr>
        <w:tabs>
          <w:tab w:val="center" w:pos="1418"/>
          <w:tab w:val="center" w:pos="5954"/>
        </w:tabs>
        <w:spacing w:before="720"/>
      </w:pPr>
    </w:p>
    <w:p w:rsidR="00380A26" w:rsidRDefault="00380A26">
      <w:pPr>
        <w:pBdr>
          <w:top w:val="nil"/>
          <w:left w:val="nil"/>
          <w:bottom w:val="nil"/>
          <w:right w:val="nil"/>
          <w:between w:val="nil"/>
        </w:pBdr>
        <w:tabs>
          <w:tab w:val="center" w:pos="1418"/>
          <w:tab w:val="center" w:pos="5954"/>
        </w:tabs>
        <w:spacing w:before="720"/>
      </w:pPr>
    </w:p>
    <w:p w:rsidR="00380A26" w:rsidRDefault="00380A26">
      <w:pPr>
        <w:pBdr>
          <w:top w:val="nil"/>
          <w:left w:val="nil"/>
          <w:bottom w:val="nil"/>
          <w:right w:val="nil"/>
          <w:between w:val="nil"/>
        </w:pBdr>
        <w:ind w:firstLine="284"/>
        <w:jc w:val="both"/>
        <w:rPr>
          <w:color w:val="000000"/>
        </w:rPr>
      </w:pPr>
    </w:p>
    <w:p w:rsidR="00380A26" w:rsidRDefault="0059142E">
      <w:pPr>
        <w:pBdr>
          <w:top w:val="nil"/>
          <w:left w:val="nil"/>
          <w:bottom w:val="nil"/>
          <w:right w:val="nil"/>
          <w:between w:val="nil"/>
        </w:pBdr>
        <w:ind w:firstLine="284"/>
        <w:jc w:val="both"/>
        <w:rPr>
          <w:color w:val="000000"/>
        </w:rPr>
      </w:pPr>
      <w:proofErr w:type="gramStart"/>
      <w:r>
        <w:rPr>
          <w:color w:val="000000"/>
        </w:rPr>
        <w:t>Sözleşme'nin</w:t>
      </w:r>
      <w:proofErr w:type="gramEnd"/>
      <w:r>
        <w:rPr>
          <w:color w:val="000000"/>
        </w:rPr>
        <w:t xml:space="preserve"> 45 § 2 maddesi ve Mahkeme İç Tüzüğü'nün 74 § 2 maddesi uyarınca, aşağıdaki ayrı görüşler bu karara eklenmiştir:</w:t>
      </w:r>
    </w:p>
    <w:p w:rsidR="00380A26" w:rsidRDefault="0059142E">
      <w:pPr>
        <w:pBdr>
          <w:top w:val="nil"/>
          <w:left w:val="nil"/>
          <w:bottom w:val="nil"/>
          <w:right w:val="nil"/>
          <w:between w:val="nil"/>
        </w:pBdr>
        <w:ind w:firstLine="284"/>
        <w:jc w:val="both"/>
        <w:rPr>
          <w:color w:val="000000"/>
        </w:rPr>
      </w:pPr>
      <w:r>
        <w:rPr>
          <w:color w:val="000000"/>
        </w:rPr>
        <w:t>(a)  Yargıç Koskelo'nun, Yargıç Ranzoni'nin de katıldığı mutabık görüşü;</w:t>
      </w:r>
    </w:p>
    <w:p w:rsidR="00380A26" w:rsidRDefault="0059142E">
      <w:pPr>
        <w:pBdr>
          <w:top w:val="nil"/>
          <w:left w:val="nil"/>
          <w:bottom w:val="nil"/>
          <w:right w:val="nil"/>
          <w:between w:val="nil"/>
        </w:pBdr>
        <w:ind w:firstLine="284"/>
        <w:jc w:val="both"/>
        <w:rPr>
          <w:color w:val="000000"/>
        </w:rPr>
      </w:pPr>
      <w:r>
        <w:rPr>
          <w:color w:val="000000"/>
        </w:rPr>
        <w:t>(b)  </w:t>
      </w:r>
      <w:r>
        <w:t>Yargıç</w:t>
      </w:r>
      <w:r>
        <w:rPr>
          <w:color w:val="000000"/>
        </w:rPr>
        <w:t xml:space="preserve"> Yüksel'in kısmi mutabık görüşü;</w:t>
      </w:r>
    </w:p>
    <w:p w:rsidR="00380A26" w:rsidRDefault="0059142E">
      <w:pPr>
        <w:pBdr>
          <w:top w:val="nil"/>
          <w:left w:val="nil"/>
          <w:bottom w:val="nil"/>
          <w:right w:val="nil"/>
          <w:between w:val="nil"/>
        </w:pBdr>
        <w:ind w:firstLine="284"/>
      </w:pPr>
      <w:r>
        <w:rPr>
          <w:color w:val="000000"/>
        </w:rPr>
        <w:t>(c)  Yargıç Ku</w:t>
      </w:r>
      <w:r>
        <w:rPr>
          <w:color w:val="000000"/>
        </w:rPr>
        <w:t>ris'in kısmi muhalif görüşü.</w:t>
      </w:r>
      <w:r>
        <w:t xml:space="preserve">                                        </w:t>
      </w:r>
    </w:p>
    <w:p w:rsidR="00380A26" w:rsidRDefault="0059142E">
      <w:pPr>
        <w:pBdr>
          <w:top w:val="nil"/>
          <w:left w:val="nil"/>
          <w:bottom w:val="nil"/>
          <w:right w:val="nil"/>
          <w:between w:val="nil"/>
        </w:pBdr>
        <w:ind w:firstLine="284"/>
        <w:jc w:val="right"/>
      </w:pPr>
      <w:r>
        <w:t xml:space="preserve"> J.F.K.</w:t>
      </w:r>
    </w:p>
    <w:p w:rsidR="00380A26" w:rsidRDefault="0059142E">
      <w:pPr>
        <w:pBdr>
          <w:top w:val="nil"/>
          <w:left w:val="nil"/>
          <w:bottom w:val="nil"/>
          <w:right w:val="nil"/>
          <w:between w:val="nil"/>
        </w:pBdr>
        <w:ind w:firstLine="284"/>
        <w:jc w:val="right"/>
        <w:sectPr w:rsidR="00380A26">
          <w:headerReference w:type="default" r:id="rId12"/>
          <w:footerReference w:type="default" r:id="rId13"/>
          <w:pgSz w:w="11900" w:h="16840"/>
          <w:pgMar w:top="2274" w:right="2274" w:bottom="1985" w:left="2274" w:header="1701" w:footer="720" w:gutter="0"/>
          <w:pgNumType w:start="1"/>
          <w:cols w:space="708"/>
        </w:sectPr>
      </w:pPr>
      <w:r>
        <w:t>H.B</w:t>
      </w:r>
    </w:p>
    <w:p w:rsidR="00380A26" w:rsidRDefault="0059142E">
      <w:pPr>
        <w:keepNext/>
        <w:keepLines/>
        <w:pBdr>
          <w:top w:val="nil"/>
          <w:left w:val="nil"/>
          <w:bottom w:val="nil"/>
          <w:right w:val="nil"/>
          <w:between w:val="nil"/>
        </w:pBdr>
        <w:spacing w:after="240"/>
        <w:jc w:val="center"/>
        <w:rPr>
          <w:color w:val="000000"/>
          <w:sz w:val="28"/>
          <w:szCs w:val="28"/>
        </w:rPr>
      </w:pPr>
      <w:r>
        <w:rPr>
          <w:color w:val="000000"/>
          <w:sz w:val="28"/>
          <w:szCs w:val="28"/>
        </w:rPr>
        <w:lastRenderedPageBreak/>
        <w:t>YARGIÇ RANZONI</w:t>
      </w:r>
      <w:r w:rsidR="00F179FB">
        <w:rPr>
          <w:color w:val="000000"/>
          <w:sz w:val="28"/>
          <w:szCs w:val="28"/>
        </w:rPr>
        <w:t>’NIN</w:t>
      </w:r>
      <w:r>
        <w:rPr>
          <w:color w:val="000000"/>
          <w:sz w:val="28"/>
          <w:szCs w:val="28"/>
        </w:rPr>
        <w:t xml:space="preserve"> KATILDIĞI YARGIÇ KOSKELO'NUN MUTABIK GÖRÜŞÜ</w:t>
      </w:r>
    </w:p>
    <w:p w:rsidR="00380A26" w:rsidRDefault="0059142E">
      <w:pPr>
        <w:pBdr>
          <w:top w:val="nil"/>
          <w:left w:val="nil"/>
          <w:bottom w:val="nil"/>
          <w:right w:val="nil"/>
          <w:between w:val="nil"/>
        </w:pBdr>
        <w:ind w:firstLine="284"/>
        <w:jc w:val="both"/>
        <w:rPr>
          <w:color w:val="000000"/>
        </w:rPr>
      </w:pPr>
      <w:r>
        <w:rPr>
          <w:color w:val="000000"/>
        </w:rPr>
        <w:t xml:space="preserve">108. Mevcut karar alışılmadık ve son derece sorunlu bir anlamda dikkat çekicidir. Mahkeme, aslında, kendi işlevini yerine getiremez hale getiren bir durumla karşı karşıya olduğu sonucuna varmakta ve ayrıca bu sonuca, </w:t>
      </w:r>
      <w:proofErr w:type="gramStart"/>
      <w:r>
        <w:rPr>
          <w:color w:val="000000"/>
        </w:rPr>
        <w:t>Sözleşme'nin</w:t>
      </w:r>
      <w:proofErr w:type="gramEnd"/>
      <w:r>
        <w:rPr>
          <w:color w:val="000000"/>
        </w:rPr>
        <w:t xml:space="preserve"> 5. </w:t>
      </w:r>
      <w:proofErr w:type="gramStart"/>
      <w:r>
        <w:rPr>
          <w:color w:val="000000"/>
        </w:rPr>
        <w:t>maddesinde</w:t>
      </w:r>
      <w:proofErr w:type="gramEnd"/>
      <w:r>
        <w:rPr>
          <w:color w:val="000000"/>
        </w:rPr>
        <w:t xml:space="preserve"> yer alan tem</w:t>
      </w:r>
      <w:r>
        <w:rPr>
          <w:color w:val="000000"/>
        </w:rPr>
        <w:t xml:space="preserve">el hakların temel yönleri bağlamında ulaşılmaktadır. Başvurucuların tutukluluk hallerinin iç hukuk açısından hukuka aykırılığı nedeniyle 5. </w:t>
      </w:r>
      <w:proofErr w:type="gramStart"/>
      <w:r>
        <w:rPr>
          <w:color w:val="000000"/>
        </w:rPr>
        <w:t>maddenin</w:t>
      </w:r>
      <w:proofErr w:type="gramEnd"/>
      <w:r>
        <w:rPr>
          <w:color w:val="000000"/>
        </w:rPr>
        <w:t xml:space="preserve"> 1. </w:t>
      </w:r>
      <w:proofErr w:type="gramStart"/>
      <w:r>
        <w:rPr>
          <w:color w:val="000000"/>
        </w:rPr>
        <w:t>fıkrasının</w:t>
      </w:r>
      <w:proofErr w:type="gramEnd"/>
      <w:r>
        <w:rPr>
          <w:color w:val="000000"/>
        </w:rPr>
        <w:t xml:space="preserve"> ihlal edildiğini tespit ederek (hüküm kısmının 3. ve 4. </w:t>
      </w:r>
      <w:r>
        <w:t>kalemleri</w:t>
      </w:r>
      <w:r>
        <w:rPr>
          <w:color w:val="000000"/>
        </w:rPr>
        <w:t>) Mahkeme, başvurucular tara</w:t>
      </w:r>
      <w:r>
        <w:rPr>
          <w:color w:val="000000"/>
        </w:rPr>
        <w:t xml:space="preserve">fından 5. </w:t>
      </w:r>
      <w:proofErr w:type="gramStart"/>
      <w:r>
        <w:rPr>
          <w:color w:val="000000"/>
        </w:rPr>
        <w:t>madde</w:t>
      </w:r>
      <w:proofErr w:type="gramEnd"/>
      <w:r>
        <w:rPr>
          <w:color w:val="000000"/>
        </w:rPr>
        <w:t xml:space="preserve"> kapsamında ileri sürülen diğer şikayetleri incelemeden bırakmıştır (5. </w:t>
      </w:r>
      <w:r>
        <w:t>kalem</w:t>
      </w:r>
      <w:r>
        <w:rPr>
          <w:color w:val="000000"/>
        </w:rPr>
        <w:t>).</w:t>
      </w:r>
    </w:p>
    <w:p w:rsidR="00380A26" w:rsidRDefault="0059142E">
      <w:pPr>
        <w:pBdr>
          <w:top w:val="nil"/>
          <w:left w:val="nil"/>
          <w:bottom w:val="nil"/>
          <w:right w:val="nil"/>
          <w:between w:val="nil"/>
        </w:pBdr>
        <w:ind w:firstLine="284"/>
        <w:jc w:val="both"/>
      </w:pPr>
      <w:r>
        <w:rPr>
          <w:color w:val="000000"/>
        </w:rPr>
        <w:t>109</w:t>
      </w:r>
      <w:r>
        <w:t>. Bu olağanüstü sonuç için gönülsüzce ve büyük bir kuşkuyla lehe oy verdim. Peki neden öyle?</w:t>
      </w:r>
    </w:p>
    <w:p w:rsidR="00380A26" w:rsidRDefault="0059142E">
      <w:pPr>
        <w:pBdr>
          <w:top w:val="nil"/>
          <w:left w:val="nil"/>
          <w:bottom w:val="nil"/>
          <w:right w:val="nil"/>
          <w:between w:val="nil"/>
        </w:pBdr>
        <w:ind w:firstLine="284"/>
        <w:jc w:val="both"/>
      </w:pPr>
      <w:r>
        <w:rPr>
          <w:color w:val="000000"/>
        </w:rPr>
        <w:t>110.  </w:t>
      </w:r>
      <w:proofErr w:type="gramStart"/>
      <w:r>
        <w:t>Sözleşme</w:t>
      </w:r>
      <w:r w:rsidR="00EF6F58">
        <w:t>’</w:t>
      </w:r>
      <w:r>
        <w:t>nin</w:t>
      </w:r>
      <w:proofErr w:type="gramEnd"/>
      <w:r>
        <w:t xml:space="preserve"> farklı hükümleri uyarınca ileri sürülen şikayetlerin olgusal bir temelle ve benzerlikler sunan yasal argümanlara dayandığı durumlar olduğu sübut olmakla birlikte, Mahkeme, bir hüküm uyarınca bir ihlal tespit edildiğinde, başvurucu tarafından il</w:t>
      </w:r>
      <w:r>
        <w:t xml:space="preserve">eri sürülen başka bir hüküm açısından konuyu ayrıca incelemenin gerekli olmadığını düşünmekte haklı olabilir. Bununla birlikte, mevcut birleştirilmiş davalar bu durum kategorisine girmemektedir; çünkü bu davada Mahkeme, yasallık konusu dışında 5. </w:t>
      </w:r>
      <w:proofErr w:type="gramStart"/>
      <w:r>
        <w:t>madde</w:t>
      </w:r>
      <w:proofErr w:type="gramEnd"/>
      <w:r>
        <w:t xml:space="preserve"> kap</w:t>
      </w:r>
      <w:r>
        <w:t xml:space="preserve">samında ileri sürülen diğer tüm şikayetleri incelemekten kaçınmaktadır. Bu hariç tutma, özellikle, Mahkeme'nin yerleşik içtihadına göre ve temel haklardan birinin tam merkezinde yer </w:t>
      </w:r>
      <w:proofErr w:type="gramStart"/>
      <w:r>
        <w:t>alan</w:t>
      </w:r>
      <w:proofErr w:type="gramEnd"/>
      <w:r>
        <w:t xml:space="preserve"> tutukluluğun Sözleşme'nin 5. </w:t>
      </w:r>
      <w:proofErr w:type="gramStart"/>
      <w:r>
        <w:t>maddesinin</w:t>
      </w:r>
      <w:proofErr w:type="gramEnd"/>
      <w:r>
        <w:t xml:space="preserve"> 1. </w:t>
      </w:r>
      <w:proofErr w:type="gramStart"/>
      <w:r>
        <w:t>fıkrasının</w:t>
      </w:r>
      <w:proofErr w:type="gramEnd"/>
      <w:r>
        <w:t xml:space="preserve"> c bendine uygun</w:t>
      </w:r>
      <w:r>
        <w:t xml:space="preserve"> olması için temel ve gerekli bir koşul olan makul şüphe şartına ilişkin şikayetleri kapsar. Bu şikayetler kapsamında dile getirilen sorunlar ile hukuka aykırılık nedeniyle yapılan şikayetler “mükerrer” değildir. Aslında bunlar, farklı ve temelde önemli ol</w:t>
      </w:r>
      <w:r>
        <w:t>an Sözleşme güvenceleriyle ilgilidir.</w:t>
      </w:r>
    </w:p>
    <w:p w:rsidR="00380A26" w:rsidRDefault="0059142E">
      <w:pPr>
        <w:pBdr>
          <w:top w:val="nil"/>
          <w:left w:val="nil"/>
          <w:bottom w:val="nil"/>
          <w:right w:val="nil"/>
          <w:between w:val="nil"/>
        </w:pBdr>
        <w:ind w:firstLine="284"/>
        <w:jc w:val="both"/>
      </w:pPr>
      <w:r>
        <w:rPr>
          <w:color w:val="000000"/>
        </w:rPr>
        <w:t>111.  </w:t>
      </w:r>
      <w:r>
        <w:t xml:space="preserve">Ayrıca, </w:t>
      </w:r>
      <w:r>
        <w:rPr>
          <w:i/>
        </w:rPr>
        <w:t>Alparslan Altan v. Türkiye</w:t>
      </w:r>
      <w:r>
        <w:t xml:space="preserve"> ve </w:t>
      </w:r>
      <w:r>
        <w:rPr>
          <w:i/>
        </w:rPr>
        <w:t>Baş v. Türkiye</w:t>
      </w:r>
      <w:r>
        <w:t xml:space="preserve"> gibi (her ikisi de mevcut kararda anılan) Mahkeme tarafından incelenen davalara ve bunlardan kaynaklanan ilgili koşullara dayanarak, bu diğer şikayetlerin çoğu</w:t>
      </w:r>
      <w:r>
        <w:t xml:space="preserve"> haklı olabilir.</w:t>
      </w:r>
    </w:p>
    <w:p w:rsidR="00380A26" w:rsidRDefault="0059142E">
      <w:pPr>
        <w:pBdr>
          <w:top w:val="nil"/>
          <w:left w:val="nil"/>
          <w:bottom w:val="nil"/>
          <w:right w:val="nil"/>
          <w:between w:val="nil"/>
        </w:pBdr>
        <w:ind w:firstLine="284"/>
        <w:jc w:val="both"/>
      </w:pPr>
      <w:r>
        <w:rPr>
          <w:color w:val="000000"/>
        </w:rPr>
        <w:t>112. </w:t>
      </w:r>
      <w:r>
        <w:t>Bu koşullar altında, incelemesi daha önce yapılan şikayetler tarafından ortaya atılan “ana hukuki sorunlar” ile sınırlandırmayı uygun bulabileceği belirli davalar bulunmakla birlikte,  mevcut durumun Mahkeme tarafından kullanılan ölçü</w:t>
      </w:r>
      <w:r>
        <w:t>t kapsamına gireceği de söylenemez. (</w:t>
      </w:r>
      <w:proofErr w:type="gramStart"/>
      <w:r>
        <w:t>bakınız</w:t>
      </w:r>
      <w:proofErr w:type="gramEnd"/>
      <w:r>
        <w:t xml:space="preserve">, örneğin, </w:t>
      </w:r>
      <w:r>
        <w:rPr>
          <w:i/>
        </w:rPr>
        <w:t>Valentin Câmpeanu adına Hukuki Kaynaklar Merkezi v.  Romanya</w:t>
      </w:r>
      <w:r>
        <w:t xml:space="preserve"> [BD], no. 47848/08, § 156, ECHR 2014).</w:t>
      </w:r>
    </w:p>
    <w:p w:rsidR="00380A26" w:rsidRDefault="0059142E">
      <w:pPr>
        <w:pBdr>
          <w:top w:val="nil"/>
          <w:left w:val="nil"/>
          <w:bottom w:val="nil"/>
          <w:right w:val="nil"/>
          <w:between w:val="nil"/>
        </w:pBdr>
        <w:ind w:firstLine="284"/>
        <w:jc w:val="both"/>
      </w:pPr>
      <w:r>
        <w:rPr>
          <w:color w:val="000000"/>
        </w:rPr>
        <w:t>113.  </w:t>
      </w:r>
      <w:r>
        <w:t>Ayrıca, mevcut durumun, pilot karar olarak bilinen işlemleriyle karşılaştırılamayağı ve Mahkeme</w:t>
      </w:r>
      <w:r>
        <w:t xml:space="preserve">’nin, ulusal düzeyde ele alınacak konular olarak “geri vermek” amacıyla aynı serideki başvuruları kayıttan düşüremeyeceği de açıktır. Mevcut durumda, başvurucuların iç hukuk yollarına başvurmalarının başarısız olduğu ve 5. </w:t>
      </w:r>
      <w:proofErr w:type="gramStart"/>
      <w:r>
        <w:t>maddenin</w:t>
      </w:r>
      <w:proofErr w:type="gramEnd"/>
      <w:r>
        <w:t xml:space="preserve"> iddia edilen </w:t>
      </w:r>
      <w:r>
        <w:lastRenderedPageBreak/>
        <w:t>ihlallerini</w:t>
      </w:r>
      <w:r>
        <w:t xml:space="preserve"> ele almak için başka bir iç hukuk davasının beklenemeyeceği zaten açıktır.</w:t>
      </w:r>
    </w:p>
    <w:p w:rsidR="00380A26" w:rsidRDefault="0059142E">
      <w:pPr>
        <w:pBdr>
          <w:top w:val="nil"/>
          <w:left w:val="nil"/>
          <w:bottom w:val="nil"/>
          <w:right w:val="nil"/>
          <w:between w:val="nil"/>
        </w:pBdr>
        <w:ind w:firstLine="284"/>
        <w:jc w:val="both"/>
      </w:pPr>
      <w:r>
        <w:rPr>
          <w:color w:val="000000"/>
        </w:rPr>
        <w:t>114. </w:t>
      </w:r>
      <w:r>
        <w:t>Katı bir biçimde yasal bir bakış açısından, temel makul şüphe konusuyla ilgili olanlar da dahil olmak üzere diğer tüm şikayetleri incelemeden bırakmak için neredeyse hiçbir ma</w:t>
      </w:r>
      <w:r>
        <w:t>kul gerekçe yoktur.</w:t>
      </w:r>
    </w:p>
    <w:p w:rsidR="00380A26" w:rsidRDefault="0059142E">
      <w:pPr>
        <w:pBdr>
          <w:top w:val="nil"/>
          <w:left w:val="nil"/>
          <w:bottom w:val="nil"/>
          <w:right w:val="nil"/>
          <w:between w:val="nil"/>
        </w:pBdr>
        <w:ind w:firstLine="284"/>
        <w:jc w:val="both"/>
      </w:pPr>
      <w:r>
        <w:rPr>
          <w:color w:val="000000"/>
        </w:rPr>
        <w:t>115. </w:t>
      </w:r>
      <w:r>
        <w:t>Ayrıca, şikayetler çok sayıda hakim ve savcının tutukluluklarından ileri gelmekte ve bu durumu daha da ciddileştirmektedir. Aynı zamanda, Mahkeme'nin ikileminin merkezinde tam olarak sorunun yoğunluğu yatmaktadır (bakınız kararın 9</w:t>
      </w:r>
      <w:r>
        <w:t>8. paragrafı).</w:t>
      </w:r>
    </w:p>
    <w:p w:rsidR="00380A26" w:rsidRDefault="0059142E">
      <w:pPr>
        <w:pBdr>
          <w:top w:val="nil"/>
          <w:left w:val="nil"/>
          <w:bottom w:val="nil"/>
          <w:right w:val="nil"/>
          <w:between w:val="nil"/>
        </w:pBdr>
        <w:ind w:firstLine="284"/>
        <w:jc w:val="both"/>
      </w:pPr>
      <w:r>
        <w:rPr>
          <w:color w:val="000000"/>
        </w:rPr>
        <w:t>116. </w:t>
      </w:r>
      <w:r>
        <w:t xml:space="preserve">Bu nedenle, başvurucuların </w:t>
      </w:r>
      <w:proofErr w:type="gramStart"/>
      <w:r>
        <w:t>Sözleşme'nin</w:t>
      </w:r>
      <w:proofErr w:type="gramEnd"/>
      <w:r>
        <w:t xml:space="preserve"> 5. </w:t>
      </w:r>
      <w:proofErr w:type="gramStart"/>
      <w:r>
        <w:t>maddesi</w:t>
      </w:r>
      <w:proofErr w:type="gramEnd"/>
      <w:r>
        <w:t xml:space="preserve"> kapsamında ileri sürülen diğer şikayetlerini incelememe kararı, tehlikeli olarak yeni bir niteliğe sahiptir. Yine de, gerçeği kendini gösterdiği şekliyle </w:t>
      </w:r>
      <w:proofErr w:type="gramStart"/>
      <w:r>
        <w:t>kabul</w:t>
      </w:r>
      <w:proofErr w:type="gramEnd"/>
      <w:r>
        <w:t xml:space="preserve"> etme zamanının geldiği so</w:t>
      </w:r>
      <w:r>
        <w:t xml:space="preserve">nucuna vardım: İddia edilen ihlaller büyük çapta meydana gelirse ve ilgili haklar artık iç hukuk yollarıyla korunmuyorsa, Mahkeme'ye emanet edilen uluslararası denetim bile pratik sınırlarına ulaşır. Temel hakların tehlikede olması, durumu özellikle üzücü </w:t>
      </w:r>
      <w:r w:rsidR="0017779D">
        <w:t xml:space="preserve">ve ciddi kılıyor, ancak kendi </w:t>
      </w:r>
      <w:r>
        <w:t>kendini değiştiremez. Şikayetlerin makul bir zaman çerçevesi içinde işleme alınamayacağı ve dolayısıyla işleme alınmayacağı veya Mahkeme'nin faaliyetini daha genel olarak felç etmeden netleştiği durumlarda, durumla ilgili yan</w:t>
      </w:r>
      <w:r>
        <w:t>ılsamaları sürdürmek yerine bu çıkmazı şeffaf hale getirmek daha iyidir. Bu durumda diğer organların dikkate alması gereken başka sonuçlar vardır.</w:t>
      </w:r>
    </w:p>
    <w:p w:rsidR="00380A26" w:rsidRDefault="0059142E">
      <w:pPr>
        <w:pBdr>
          <w:top w:val="nil"/>
          <w:left w:val="nil"/>
          <w:bottom w:val="nil"/>
          <w:right w:val="nil"/>
          <w:between w:val="nil"/>
        </w:pBdr>
        <w:ind w:firstLine="284"/>
        <w:jc w:val="both"/>
      </w:pPr>
      <w:r>
        <w:rPr>
          <w:color w:val="000000"/>
        </w:rPr>
        <w:t>117. </w:t>
      </w:r>
      <w:r>
        <w:t xml:space="preserve"> Yukarıda belirtilen (ve karar</w:t>
      </w:r>
      <w:r w:rsidR="00D85D13">
        <w:t>ın 98. paragrafında) nedenlerle</w:t>
      </w:r>
      <w:r>
        <w:t>, hüküm kısmında kullanılan ifade (5. kale</w:t>
      </w:r>
      <w:r>
        <w:t>m – “incelemeye gerek yok”) bence mevcut davada uygun değildir. Ancak buna rağmen, sonuçlarına katıldığım için bu hüküm lehinde oy kullandım.</w:t>
      </w:r>
    </w:p>
    <w:p w:rsidR="00380A26" w:rsidRDefault="0059142E">
      <w:pPr>
        <w:pBdr>
          <w:top w:val="nil"/>
          <w:left w:val="nil"/>
          <w:bottom w:val="nil"/>
          <w:right w:val="nil"/>
          <w:between w:val="nil"/>
        </w:pBdr>
        <w:ind w:firstLine="284"/>
        <w:jc w:val="both"/>
      </w:pPr>
      <w:r>
        <w:rPr>
          <w:color w:val="000000"/>
        </w:rPr>
        <w:t>118.  </w:t>
      </w:r>
      <w:r>
        <w:t xml:space="preserve">Son bir nokta olarak, başvurucuların tutukluluklarının 5. </w:t>
      </w:r>
      <w:proofErr w:type="gramStart"/>
      <w:r>
        <w:t>maddenin</w:t>
      </w:r>
      <w:proofErr w:type="gramEnd"/>
      <w:r>
        <w:t xml:space="preserve"> 1. </w:t>
      </w:r>
      <w:proofErr w:type="gramStart"/>
      <w:r>
        <w:t>fıkrası</w:t>
      </w:r>
      <w:proofErr w:type="gramEnd"/>
      <w:r>
        <w:t xml:space="preserve"> anlamında hukuka uygun olmadığ</w:t>
      </w:r>
      <w:r>
        <w:t>ı gerekçesiyle ihlal tespitine katıldığımı ancak bir ek notla teyit ediyorum. Hükümet'in, normal hakim veya savcı olan başvurucuların tutukluluğunun hukuka uygunluğunun, ilgili iç hukuka göre, suçüstü halinin bulunmasına değil, söz konusu suçun “kişisel” o</w:t>
      </w:r>
      <w:r>
        <w:t>lup olmadığına bağlı olduğu iddiasıyla ilgilidir ama “görevle ilgili” bir suç, yani resmi görevlerle bağlantılı olarak veya bu görevlerin yürütülmesi sırasında işlenen bir suçtur (bakınız mevcut kararın 41 ve 76. paragrafları). Hükümet, iç hukukta, başvuru</w:t>
      </w:r>
      <w:r>
        <w:t>cuların şüphelenildiği terör örgütüne üyelik suçunun “kişisel suç” olarak nitelendirildiğini ve normal hakim ve savcılarına ilişkin belirli usuli güvenceleri ve kuralları uygulanamaz hale getirdiğini ileri sürmüştür.</w:t>
      </w:r>
    </w:p>
    <w:p w:rsidR="00380A26" w:rsidRDefault="0059142E">
      <w:pPr>
        <w:pBdr>
          <w:top w:val="nil"/>
          <w:left w:val="nil"/>
          <w:bottom w:val="nil"/>
          <w:right w:val="nil"/>
          <w:between w:val="nil"/>
        </w:pBdr>
        <w:ind w:firstLine="284"/>
        <w:jc w:val="both"/>
      </w:pPr>
      <w:r>
        <w:rPr>
          <w:color w:val="000000"/>
        </w:rPr>
        <w:t>119. </w:t>
      </w:r>
      <w:r>
        <w:t>İç hukuku yorumlamanın öncelikle y</w:t>
      </w:r>
      <w:r>
        <w:t xml:space="preserve">erel mahkemelerin bir görevi olduğunu </w:t>
      </w:r>
      <w:proofErr w:type="gramStart"/>
      <w:r>
        <w:t>kabul</w:t>
      </w:r>
      <w:proofErr w:type="gramEnd"/>
      <w:r>
        <w:t xml:space="preserve"> etmekle birlikte, Hükümet'in dayandığı pozisyon, mevcut bağlamda temel bir soruyu gündeme getirmektedir. Mahkeme önündeki beyanlarında Hükümet, söz konusu örgütünün (“FETÖ/PDY”) tutarlı bir şekilde yargı sistemi </w:t>
      </w:r>
      <w:r>
        <w:t xml:space="preserve">de dahil olmak üzere çeşitli kamu kurumlarına sızma ve “paralel bir devlet” yaratma amacı taşıyan bir örgüt olarak tanımlamışken </w:t>
      </w:r>
      <w:r>
        <w:lastRenderedPageBreak/>
        <w:t>ikinci ifade,  Hükümet tarafından bu örgütü belirtmek için kabul edilen ifade olarak kullanılmaktadır. Daha spesifik olarak, Hü</w:t>
      </w:r>
      <w:r>
        <w:t>kümet, bu örgüte mensup hakim ve savcıların kendilerine tevdi edilen davalarla ilgilenirken kendi hiyerarşisinden talimat aldıklarını ileri sürmüştür. Bu tür beyanların, bu belirli örgüte üyeliğin yine de şüphelilerin hakim veya savcı olarak görevlerini if</w:t>
      </w:r>
      <w:r>
        <w:t xml:space="preserve">a etmeleri ile bağlantılı olmayan bir “kişisel suç” olarak nitelendirilmeye devam ettiği önermesiyle nasıl uzlaştırılabileceğini anlamak zordur. Bu davaların özel koşullarında, iç hukukun böyle bir yorumu ne makul ne de </w:t>
      </w:r>
      <w:proofErr w:type="gramStart"/>
      <w:r>
        <w:t>Sözleşme'nin</w:t>
      </w:r>
      <w:proofErr w:type="gramEnd"/>
      <w:r>
        <w:t xml:space="preserve"> öngörülebilirlik ve yas</w:t>
      </w:r>
      <w:r>
        <w:t xml:space="preserve">al </w:t>
      </w:r>
      <w:r w:rsidR="00DA2935">
        <w:t>belirlilik</w:t>
      </w:r>
      <w:r>
        <w:t xml:space="preserve"> gereklilikleriyle tutarlı görünmektedir.</w:t>
      </w:r>
    </w:p>
    <w:p w:rsidR="00380A26" w:rsidRDefault="00380A26">
      <w:pPr>
        <w:pBdr>
          <w:top w:val="nil"/>
          <w:left w:val="nil"/>
          <w:bottom w:val="nil"/>
          <w:right w:val="nil"/>
          <w:between w:val="nil"/>
        </w:pBdr>
        <w:ind w:firstLine="284"/>
        <w:jc w:val="both"/>
      </w:pPr>
    </w:p>
    <w:p w:rsidR="00380A26" w:rsidRDefault="00380A26">
      <w:pPr>
        <w:pBdr>
          <w:top w:val="nil"/>
          <w:left w:val="nil"/>
          <w:bottom w:val="nil"/>
          <w:right w:val="nil"/>
          <w:between w:val="nil"/>
        </w:pBdr>
        <w:ind w:firstLine="284"/>
        <w:jc w:val="both"/>
      </w:pPr>
    </w:p>
    <w:p w:rsidR="00380A26" w:rsidRDefault="00380A26">
      <w:pPr>
        <w:pBdr>
          <w:top w:val="nil"/>
          <w:left w:val="nil"/>
          <w:bottom w:val="nil"/>
          <w:right w:val="nil"/>
          <w:between w:val="nil"/>
        </w:pBdr>
        <w:ind w:firstLine="284"/>
        <w:jc w:val="both"/>
        <w:rPr>
          <w:color w:val="000000"/>
        </w:rPr>
        <w:sectPr w:rsidR="00380A26">
          <w:headerReference w:type="default" r:id="rId14"/>
          <w:footerReference w:type="default" r:id="rId15"/>
          <w:pgSz w:w="11900" w:h="16840"/>
          <w:pgMar w:top="2274" w:right="2274" w:bottom="2274" w:left="2274" w:header="1701" w:footer="720" w:gutter="0"/>
          <w:cols w:space="708"/>
        </w:sectPr>
      </w:pPr>
    </w:p>
    <w:p w:rsidR="00380A26" w:rsidRDefault="0059142E">
      <w:pPr>
        <w:keepNext/>
        <w:keepLines/>
        <w:pBdr>
          <w:top w:val="nil"/>
          <w:left w:val="nil"/>
          <w:bottom w:val="nil"/>
          <w:right w:val="nil"/>
          <w:between w:val="nil"/>
        </w:pBdr>
        <w:spacing w:after="240"/>
        <w:jc w:val="center"/>
        <w:rPr>
          <w:color w:val="000000"/>
          <w:sz w:val="28"/>
          <w:szCs w:val="28"/>
        </w:rPr>
      </w:pPr>
      <w:r>
        <w:rPr>
          <w:color w:val="000000"/>
          <w:sz w:val="28"/>
          <w:szCs w:val="28"/>
        </w:rPr>
        <w:lastRenderedPageBreak/>
        <w:t>YARG</w:t>
      </w:r>
      <w:r>
        <w:rPr>
          <w:sz w:val="28"/>
          <w:szCs w:val="28"/>
        </w:rPr>
        <w:t>IÇ YÜKSEL’İN KISMİ MUTABIK GÖRÜŞÜ</w:t>
      </w:r>
    </w:p>
    <w:p w:rsidR="00380A26" w:rsidRDefault="0059142E">
      <w:pPr>
        <w:pBdr>
          <w:top w:val="nil"/>
          <w:left w:val="nil"/>
          <w:bottom w:val="nil"/>
          <w:right w:val="nil"/>
          <w:between w:val="nil"/>
        </w:pBdr>
        <w:ind w:firstLine="284"/>
        <w:jc w:val="both"/>
      </w:pPr>
      <w:r>
        <w:rPr>
          <w:color w:val="000000"/>
        </w:rPr>
        <w:t>120. </w:t>
      </w:r>
      <w:r>
        <w:t xml:space="preserve">Mevcut davada, Daire'nin diğer üyeleriyle birlikte, 2802 sayılı Kanun’a tabi normal hakim ve savcılara ilişkin olarak </w:t>
      </w:r>
      <w:proofErr w:type="gramStart"/>
      <w:r>
        <w:t>Sözleşme'nin</w:t>
      </w:r>
      <w:proofErr w:type="gramEnd"/>
      <w:r>
        <w:t xml:space="preserve"> 5. </w:t>
      </w:r>
      <w:proofErr w:type="gramStart"/>
      <w:r>
        <w:t>maddesinin</w:t>
      </w:r>
      <w:proofErr w:type="gramEnd"/>
      <w:r>
        <w:t xml:space="preserve"> 1. </w:t>
      </w:r>
      <w:proofErr w:type="gramStart"/>
      <w:r>
        <w:t>fıkrasının</w:t>
      </w:r>
      <w:proofErr w:type="gramEnd"/>
      <w:r>
        <w:t xml:space="preserve"> ihlal edildiği konusunda oy kullandım. Bununla birlikte, meslektaşlarıma tüm saygımla, bu mutabık</w:t>
      </w:r>
      <w:r>
        <w:t xml:space="preserve"> görüşü (a) Daire'nin bu sonuca varma konusundaki gerekçesine katılmadığım nedenleri paylaşmak; ve (b) 2802 sayılı Kanun’a tabi normal hakim ve savcıların tutukluluklarının hukuka uygunluğu konusunda Mahkeme ile en yüksek yerel mahkemeler arasındaki anlaşm</w:t>
      </w:r>
      <w:r>
        <w:t>azlığın çözülmemiş olduğunu vurgulamak için sunuyorum.</w:t>
      </w:r>
    </w:p>
    <w:p w:rsidR="00380A26" w:rsidRDefault="0059142E">
      <w:pPr>
        <w:pBdr>
          <w:top w:val="nil"/>
          <w:left w:val="nil"/>
          <w:bottom w:val="nil"/>
          <w:right w:val="nil"/>
          <w:between w:val="nil"/>
        </w:pBdr>
        <w:ind w:firstLine="284"/>
        <w:jc w:val="both"/>
      </w:pPr>
      <w:r>
        <w:rPr>
          <w:color w:val="000000"/>
        </w:rPr>
        <w:t>121.  </w:t>
      </w:r>
      <w:r>
        <w:t xml:space="preserve">Daire'nin mevcut davadaki gerekçesi, </w:t>
      </w:r>
      <w:r>
        <w:rPr>
          <w:i/>
        </w:rPr>
        <w:t xml:space="preserve">Baş v. Türkiye </w:t>
      </w:r>
      <w:r>
        <w:t>(</w:t>
      </w:r>
      <w:proofErr w:type="gramStart"/>
      <w:r>
        <w:t>no. 66448/17</w:t>
      </w:r>
      <w:proofErr w:type="gramEnd"/>
      <w:r>
        <w:t>, 3 Mart 2020) kararında, 2802 sayılı Kanun uyarınca normal bir yargıcın tutuklu yargılanmasının hukuka uygunluğuna ilişkin çoğu b</w:t>
      </w:r>
      <w:r>
        <w:t xml:space="preserve">ulgularını takip etmektedir. </w:t>
      </w:r>
      <w:r>
        <w:rPr>
          <w:i/>
        </w:rPr>
        <w:t>Baş</w:t>
      </w:r>
      <w:r>
        <w:t xml:space="preserve"> kararında Mahkeme, Türk ulusal mahkemelerinin suçüstü kavramının kapsamına ilişkin geniş yorumlarının ve 2802 sayılı Kanun'un 94. </w:t>
      </w:r>
      <w:proofErr w:type="gramStart"/>
      <w:r>
        <w:t>maddesinin</w:t>
      </w:r>
      <w:proofErr w:type="gramEnd"/>
      <w:r>
        <w:t xml:space="preserve"> uygulanmasının açıkça makul olmadığına ve 5. </w:t>
      </w:r>
      <w:proofErr w:type="gramStart"/>
      <w:r>
        <w:t>maddesinin</w:t>
      </w:r>
      <w:proofErr w:type="gramEnd"/>
      <w:r>
        <w:t xml:space="preserve"> 1. </w:t>
      </w:r>
      <w:proofErr w:type="gramStart"/>
      <w:r>
        <w:t>fıkrasıyla</w:t>
      </w:r>
      <w:proofErr w:type="gramEnd"/>
      <w:r>
        <w:t xml:space="preserve"> bağdaşmadığı</w:t>
      </w:r>
      <w:r>
        <w:t xml:space="preserve">na karar vermiştir. Mahkeme bu nedenle başvurucunun tutukluluğunun hukuka aykırı olduğuna karar vermiştir (bakınız, </w:t>
      </w:r>
      <w:r>
        <w:rPr>
          <w:i/>
        </w:rPr>
        <w:t>Baş</w:t>
      </w:r>
      <w:r>
        <w:t>, yukarıda anılan, § 158).</w:t>
      </w:r>
    </w:p>
    <w:p w:rsidR="00380A26" w:rsidRDefault="0059142E">
      <w:pPr>
        <w:pBdr>
          <w:top w:val="nil"/>
          <w:left w:val="nil"/>
          <w:bottom w:val="nil"/>
          <w:right w:val="nil"/>
          <w:between w:val="nil"/>
        </w:pBdr>
        <w:ind w:firstLine="284"/>
        <w:jc w:val="both"/>
      </w:pPr>
      <w:r>
        <w:rPr>
          <w:color w:val="000000"/>
        </w:rPr>
        <w:t>122.</w:t>
      </w:r>
      <w:r>
        <w:rPr>
          <w:i/>
          <w:color w:val="000000"/>
        </w:rPr>
        <w:t>  </w:t>
      </w:r>
      <w:r>
        <w:rPr>
          <w:i/>
        </w:rPr>
        <w:t>Baş</w:t>
      </w:r>
      <w:r>
        <w:t xml:space="preserve"> davasındaki kısmen muhalefet şerhimde, çoğunluğun başvurucunun tutukluluğunun hukuka aykırı olduğu g</w:t>
      </w:r>
      <w:r>
        <w:t xml:space="preserve">örüşüne katılmama sebeplerimi ortaya koydum. Gerekçemin püf noktası, başvurucunun davasındaki eksikliklerin, </w:t>
      </w:r>
      <w:proofErr w:type="gramStart"/>
      <w:r>
        <w:t>Sözleşme'nin</w:t>
      </w:r>
      <w:proofErr w:type="gramEnd"/>
      <w:r>
        <w:t xml:space="preserve"> 5. </w:t>
      </w:r>
      <w:proofErr w:type="gramStart"/>
      <w:r>
        <w:t>maddesinin</w:t>
      </w:r>
      <w:proofErr w:type="gramEnd"/>
      <w:r>
        <w:t xml:space="preserve"> 1. </w:t>
      </w:r>
      <w:proofErr w:type="gramStart"/>
      <w:r>
        <w:t>fıkrası</w:t>
      </w:r>
      <w:proofErr w:type="gramEnd"/>
      <w:r>
        <w:t xml:space="preserve"> anlamında tutukluluğu hukuka aykırı kılacak kadar "ağır veya bariz bir usulsüzlük" (bakınız </w:t>
      </w:r>
      <w:r>
        <w:rPr>
          <w:i/>
        </w:rPr>
        <w:t>Mooren v. Almanya</w:t>
      </w:r>
      <w:r>
        <w:t xml:space="preserve"> [BD], no. 11364/03, § 84, 9  Temmuz 2009) teşkil ettiğine ilişkin çoğunluğun görüşünü paylaşmamamdı. Meslektaşlarıma, </w:t>
      </w:r>
      <w:r>
        <w:rPr>
          <w:i/>
        </w:rPr>
        <w:t>Baş</w:t>
      </w:r>
      <w:r>
        <w:t xml:space="preserve">'taki kısmi muhalefet şerhimde ortaya koyduğum </w:t>
      </w:r>
      <w:proofErr w:type="gramStart"/>
      <w:r>
        <w:t>Sözleşme'nin</w:t>
      </w:r>
      <w:proofErr w:type="gramEnd"/>
      <w:r>
        <w:t xml:space="preserve"> 5. </w:t>
      </w:r>
      <w:proofErr w:type="gramStart"/>
      <w:r>
        <w:t>maddesinin</w:t>
      </w:r>
      <w:proofErr w:type="gramEnd"/>
      <w:r>
        <w:t xml:space="preserve"> 1. </w:t>
      </w:r>
      <w:proofErr w:type="gramStart"/>
      <w:r>
        <w:t>fıkrasına</w:t>
      </w:r>
      <w:proofErr w:type="gramEnd"/>
      <w:r>
        <w:t xml:space="preserve"> ilişkin görüşümün, 2802 sayılı Kanun’a göre tut</w:t>
      </w:r>
      <w:r>
        <w:t>uklamalar bağlamında hukuken doğru yorumu olduğunu iddia ettiğimi saygıyla bildiririm.</w:t>
      </w:r>
    </w:p>
    <w:p w:rsidR="00380A26" w:rsidRDefault="0059142E">
      <w:pPr>
        <w:pBdr>
          <w:top w:val="nil"/>
          <w:left w:val="nil"/>
          <w:bottom w:val="nil"/>
          <w:right w:val="nil"/>
          <w:between w:val="nil"/>
        </w:pBdr>
        <w:ind w:firstLine="284"/>
        <w:jc w:val="both"/>
      </w:pPr>
      <w:r>
        <w:rPr>
          <w:color w:val="000000"/>
        </w:rPr>
        <w:t>123.</w:t>
      </w:r>
      <w:r w:rsidR="005C072E">
        <w:rPr>
          <w:color w:val="000000"/>
        </w:rPr>
        <w:t xml:space="preserve"> </w:t>
      </w:r>
      <w:r>
        <w:t xml:space="preserve">Ancak mevcut davada, 2802 sayılı Kanun’a tabi başvurucuların tutuklanmalarının hukuka aykırı olduğuna ve </w:t>
      </w:r>
      <w:proofErr w:type="gramStart"/>
      <w:r>
        <w:t>Sözleşme'nin</w:t>
      </w:r>
      <w:proofErr w:type="gramEnd"/>
      <w:r>
        <w:t xml:space="preserve"> 5. </w:t>
      </w:r>
      <w:proofErr w:type="gramStart"/>
      <w:r>
        <w:t>maddesinin</w:t>
      </w:r>
      <w:proofErr w:type="gramEnd"/>
      <w:r>
        <w:t xml:space="preserve"> 1. </w:t>
      </w:r>
      <w:proofErr w:type="gramStart"/>
      <w:r>
        <w:t>fıkrasının</w:t>
      </w:r>
      <w:proofErr w:type="gramEnd"/>
      <w:r>
        <w:t xml:space="preserve"> ihlal edildiğine ka</w:t>
      </w:r>
      <w:r>
        <w:t xml:space="preserve">rar verilmesi lehinde oy kullandım. </w:t>
      </w:r>
      <w:r>
        <w:rPr>
          <w:i/>
        </w:rPr>
        <w:t>Baş</w:t>
      </w:r>
      <w:r>
        <w:t xml:space="preserve">'taki kısmi muhalefet şerhimde belirttiğim görüşümün geçerliliğini korumakla birlikte, </w:t>
      </w:r>
      <w:r>
        <w:rPr>
          <w:i/>
        </w:rPr>
        <w:t>Baş</w:t>
      </w:r>
      <w:r>
        <w:t xml:space="preserve">’taki çoğunluğun görüşünün artık kesinleştiğini ve mevcut başvuruda sunulan hususlarda şu an için Mahkeme’nin yerleşik </w:t>
      </w:r>
      <w:r w:rsidR="005C072E">
        <w:t>içtihadı</w:t>
      </w:r>
      <w:r>
        <w:t xml:space="preserve"> o</w:t>
      </w:r>
      <w:r>
        <w:t xml:space="preserve">lduğunu göz ardı edememekteyim. Mahkeme huzurundaki başvuruların yargı bütünlüğünü ve içtihatlarının tutarlılığını koruyacak şekilde ele alınması gerektiğine inanan bu Mahkeme’nin bir hakimi olarak ve </w:t>
      </w:r>
      <w:r>
        <w:rPr>
          <w:i/>
        </w:rPr>
        <w:t>Baş</w:t>
      </w:r>
      <w:r>
        <w:t>'daki kısmen muhalefet şerhimde belirttiğim görüşüme</w:t>
      </w:r>
      <w:r>
        <w:t xml:space="preserve"> halel getirmeksizin, mevcut davada çoğunluk ile aynı fikirdeyim.</w:t>
      </w:r>
    </w:p>
    <w:p w:rsidR="00380A26" w:rsidRDefault="0059142E">
      <w:pPr>
        <w:pBdr>
          <w:top w:val="nil"/>
          <w:left w:val="nil"/>
          <w:bottom w:val="nil"/>
          <w:right w:val="nil"/>
          <w:between w:val="nil"/>
        </w:pBdr>
        <w:ind w:firstLine="284"/>
        <w:jc w:val="both"/>
      </w:pPr>
      <w:r>
        <w:rPr>
          <w:color w:val="000000"/>
        </w:rPr>
        <w:t>124.  </w:t>
      </w:r>
      <w:r>
        <w:t xml:space="preserve">Yine de belirtmek isterim ki, 2802 sayılı Kanun’a tabi normal hâkim ve savcıların yakalanması ve tutuklanmasının 5. </w:t>
      </w:r>
      <w:proofErr w:type="gramStart"/>
      <w:r>
        <w:t>maddenin</w:t>
      </w:r>
      <w:proofErr w:type="gramEnd"/>
      <w:r>
        <w:t xml:space="preserve"> 1. fıkrası anlamında, “kanunun öngördüğü usul”den ileri gel</w:t>
      </w:r>
      <w:r>
        <w:t xml:space="preserve">ip gelmediği sorusu </w:t>
      </w:r>
      <w:r>
        <w:lastRenderedPageBreak/>
        <w:t xml:space="preserve">bağlamında Türkiye'nin en yüksek mahkemeleri ile bu Mahkeme arasında ortaya çıkan görüş ayrılığı varlığını sürdürmeye devam etmektedir (bakınız, bu bağlamda, bu kararın 37-43. paragraflarında atıfta bulunulan </w:t>
      </w:r>
      <w:r>
        <w:rPr>
          <w:i/>
        </w:rPr>
        <w:t>Yıldırım Turan</w:t>
      </w:r>
      <w:r>
        <w:t xml:space="preserve"> davasında An</w:t>
      </w:r>
      <w:r>
        <w:t>ayasa Mahkemesi’nin 4 Haziran 2020 tarihinde verdiği son karar). Aynı hukuki sorunu gündeme getiren Mahkeme önünde derdest başvuruların çok sayıda olduğunu özellikle akılda tutarak, bu çelişki durumunu ele almanın ve Mahkeme'nin bu konudaki konumunu netleş</w:t>
      </w:r>
      <w:r>
        <w:t>tirmenin ve pekiştirmenin Mahkeme'nin en yüksek yargı kuruluşu olarak Büyük Daire'nin görevine girdiğini düşünüyorum.</w:t>
      </w:r>
    </w:p>
    <w:p w:rsidR="00380A26" w:rsidRDefault="00380A26">
      <w:pPr>
        <w:pBdr>
          <w:top w:val="nil"/>
          <w:left w:val="nil"/>
          <w:bottom w:val="nil"/>
          <w:right w:val="nil"/>
          <w:between w:val="nil"/>
        </w:pBdr>
        <w:ind w:firstLine="284"/>
        <w:jc w:val="both"/>
      </w:pPr>
    </w:p>
    <w:p w:rsidR="00380A26" w:rsidRDefault="00380A26">
      <w:pPr>
        <w:pBdr>
          <w:top w:val="nil"/>
          <w:left w:val="nil"/>
          <w:bottom w:val="nil"/>
          <w:right w:val="nil"/>
          <w:between w:val="nil"/>
        </w:pBdr>
        <w:ind w:firstLine="284"/>
        <w:jc w:val="both"/>
        <w:rPr>
          <w:color w:val="000000"/>
        </w:rPr>
      </w:pPr>
    </w:p>
    <w:p w:rsidR="00380A26" w:rsidRDefault="0059142E">
      <w:pPr>
        <w:pBdr>
          <w:top w:val="nil"/>
          <w:left w:val="nil"/>
          <w:bottom w:val="nil"/>
          <w:right w:val="nil"/>
          <w:between w:val="nil"/>
        </w:pBdr>
        <w:rPr>
          <w:color w:val="000000"/>
        </w:rPr>
      </w:pPr>
      <w:r>
        <w:br w:type="page"/>
      </w:r>
    </w:p>
    <w:p w:rsidR="00380A26" w:rsidRDefault="0059142E">
      <w:pPr>
        <w:keepNext/>
        <w:keepLines/>
        <w:pBdr>
          <w:top w:val="nil"/>
          <w:left w:val="nil"/>
          <w:bottom w:val="nil"/>
          <w:right w:val="nil"/>
          <w:between w:val="nil"/>
        </w:pBdr>
        <w:spacing w:after="240"/>
        <w:jc w:val="center"/>
        <w:rPr>
          <w:sz w:val="28"/>
          <w:szCs w:val="28"/>
        </w:rPr>
      </w:pPr>
      <w:r>
        <w:rPr>
          <w:color w:val="000000"/>
          <w:sz w:val="28"/>
          <w:szCs w:val="28"/>
        </w:rPr>
        <w:lastRenderedPageBreak/>
        <w:t>YARGIÇ KŪRIS'İN KISMİ MUHAL</w:t>
      </w:r>
      <w:r>
        <w:rPr>
          <w:sz w:val="28"/>
          <w:szCs w:val="28"/>
        </w:rPr>
        <w:t>İF GÖRÜŞÜ</w:t>
      </w:r>
    </w:p>
    <w:p w:rsidR="00380A26" w:rsidRDefault="0059142E">
      <w:pPr>
        <w:pBdr>
          <w:top w:val="nil"/>
          <w:left w:val="nil"/>
          <w:bottom w:val="nil"/>
          <w:right w:val="nil"/>
          <w:between w:val="nil"/>
        </w:pBdr>
        <w:ind w:firstLine="284"/>
        <w:jc w:val="both"/>
      </w:pPr>
      <w:r>
        <w:rPr>
          <w:color w:val="000000"/>
        </w:rPr>
        <w:t>1.  </w:t>
      </w:r>
      <w:r>
        <w:t xml:space="preserve">Kararın hüküm kısmının 5. </w:t>
      </w:r>
      <w:proofErr w:type="gramStart"/>
      <w:r>
        <w:t>kalemine</w:t>
      </w:r>
      <w:proofErr w:type="gramEnd"/>
      <w:r>
        <w:t xml:space="preserve"> karşı oy kullandım. Aynı zamanda, sonuca katılıyorum, çünkü ne </w:t>
      </w:r>
      <w:proofErr w:type="gramStart"/>
      <w:r>
        <w:t>kadar</w:t>
      </w:r>
      <w:proofErr w:type="gramEnd"/>
      <w:r>
        <w:t xml:space="preserve"> denesem de, çoğunluğun çok sayıda başvurucunun Sözleşme'nin 5. </w:t>
      </w:r>
      <w:proofErr w:type="gramStart"/>
      <w:r>
        <w:t>maddesinin</w:t>
      </w:r>
      <w:proofErr w:type="gramEnd"/>
      <w:r>
        <w:t xml:space="preserve"> 1. </w:t>
      </w:r>
      <w:proofErr w:type="gramStart"/>
      <w:r>
        <w:t>fıkrasının</w:t>
      </w:r>
      <w:proofErr w:type="gramEnd"/>
      <w:r>
        <w:t xml:space="preserve"> c bendi, 5. </w:t>
      </w:r>
      <w:proofErr w:type="gramStart"/>
      <w:r>
        <w:t>maddesinin</w:t>
      </w:r>
      <w:proofErr w:type="gramEnd"/>
      <w:r>
        <w:t xml:space="preserve"> 3.fıkrası, 5. </w:t>
      </w:r>
      <w:proofErr w:type="gramStart"/>
      <w:r>
        <w:t>maddesinin</w:t>
      </w:r>
      <w:proofErr w:type="gramEnd"/>
      <w:r>
        <w:t xml:space="preserve"> 4. </w:t>
      </w:r>
      <w:proofErr w:type="gramStart"/>
      <w:r>
        <w:t>fıkrası</w:t>
      </w:r>
      <w:proofErr w:type="gramEnd"/>
      <w:r>
        <w:t xml:space="preserve"> ve 5.</w:t>
      </w:r>
      <w:r>
        <w:t xml:space="preserve"> </w:t>
      </w:r>
      <w:proofErr w:type="gramStart"/>
      <w:r>
        <w:t>maddesinin</w:t>
      </w:r>
      <w:proofErr w:type="gramEnd"/>
      <w:r>
        <w:t xml:space="preserve"> 5. </w:t>
      </w:r>
      <w:proofErr w:type="gramStart"/>
      <w:r>
        <w:t>fıkrası</w:t>
      </w:r>
      <w:proofErr w:type="gramEnd"/>
      <w:r>
        <w:t xml:space="preserve"> uyarınca şikayetlerinin incelenmesinden feragat etme konusundaki cüretkar kararına herhangi bir pragmatik alternatif öneremiyorum. Fikir ayrılığım, bu nedenle, hüküm kısmının 5. </w:t>
      </w:r>
      <w:proofErr w:type="gramStart"/>
      <w:r>
        <w:t>kaleminin</w:t>
      </w:r>
      <w:proofErr w:type="gramEnd"/>
      <w:r>
        <w:t xml:space="preserve"> sonucuyla değil, lafzıyla ilgilidir: halihazı</w:t>
      </w:r>
      <w:r>
        <w:t>rda içerdiği “incelemeye gerek yok” formulünü kullanılmadan ifade edilmiş olsaydı ve böylece onu doğrulamak için amaçlanan mantığa karşılık gelseydi (kararın 98.</w:t>
      </w:r>
      <w:r w:rsidR="00A806AF">
        <w:t xml:space="preserve"> </w:t>
      </w:r>
      <w:r>
        <w:t>paragrafı) buna oy verirdim (ve eğer varsa, şüphelerim ne olursa olsun, onları çok daha kısa bi</w:t>
      </w:r>
      <w:r>
        <w:t>r mutabık görüşle ifade ederdim). Ne yazık ki, “incelemeye gerek yok” formülü, Mahkeme'nin mevcut davada kendisini bulduğu olağanüstü durum için kesinlikle yeterli değildir. Bu formülden kaçınılması gerekiyordu - ve hiçbir ücret ödemeden kaçınılabilirdi. P</w:t>
      </w:r>
      <w:r>
        <w:t>ek talihsizdir. Arızalıdır. Yanıltıcıdır, çünkü hüküm kısmında kullanılması, ilgili şikayetlerin kayda değer olmadıklarını ima etmektedir.</w:t>
      </w:r>
    </w:p>
    <w:p w:rsidR="00380A26" w:rsidRDefault="0059142E">
      <w:pPr>
        <w:spacing w:line="276" w:lineRule="auto"/>
        <w:ind w:firstLine="220"/>
        <w:jc w:val="both"/>
      </w:pPr>
      <w:r>
        <w:t>Ama kesinlikle kayda değerler.</w:t>
      </w:r>
    </w:p>
    <w:p w:rsidR="00380A26" w:rsidRDefault="00380A26">
      <w:pPr>
        <w:pBdr>
          <w:top w:val="nil"/>
          <w:left w:val="nil"/>
          <w:bottom w:val="nil"/>
          <w:right w:val="nil"/>
          <w:between w:val="nil"/>
        </w:pBdr>
        <w:ind w:firstLine="284"/>
        <w:jc w:val="both"/>
      </w:pPr>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ind w:left="397"/>
        <w:jc w:val="center"/>
        <w:rPr>
          <w:smallCaps/>
          <w:color w:val="000000"/>
        </w:rPr>
      </w:pPr>
      <w:r>
        <w:rPr>
          <w:smallCaps/>
          <w:color w:val="000000"/>
        </w:rPr>
        <w:t>I</w:t>
      </w:r>
    </w:p>
    <w:p w:rsidR="00380A26" w:rsidRDefault="0059142E">
      <w:pPr>
        <w:pBdr>
          <w:top w:val="nil"/>
          <w:left w:val="nil"/>
          <w:bottom w:val="nil"/>
          <w:right w:val="nil"/>
          <w:between w:val="nil"/>
        </w:pBdr>
        <w:ind w:firstLine="284"/>
        <w:jc w:val="both"/>
      </w:pPr>
      <w:r>
        <w:rPr>
          <w:color w:val="000000"/>
        </w:rPr>
        <w:t>2.  </w:t>
      </w:r>
      <w:r>
        <w:t xml:space="preserve">Mahkeme, aldığı tüm şikayetlere yanıt olarak, esası bir </w:t>
      </w:r>
      <w:proofErr w:type="gramStart"/>
      <w:r>
        <w:t>yana</w:t>
      </w:r>
      <w:proofErr w:type="gramEnd"/>
      <w:r>
        <w:t xml:space="preserve"> bırakıp, kabul edilebilirlik konusunda herhangi bir inceleme yapma mecburiyeti altında değildir. Bazı şikayetleri, hatta tüm başvuruları incelemeden bırakmak için çok çeşitli yasal gerekçeler -ve</w:t>
      </w:r>
      <w:r>
        <w:t xml:space="preserve"> iyi nedenler- vardır.</w:t>
      </w:r>
    </w:p>
    <w:p w:rsidR="00380A26" w:rsidRDefault="0059142E">
      <w:pPr>
        <w:pBdr>
          <w:top w:val="nil"/>
          <w:left w:val="nil"/>
          <w:bottom w:val="nil"/>
          <w:right w:val="nil"/>
          <w:between w:val="nil"/>
        </w:pBdr>
        <w:ind w:firstLine="284"/>
        <w:jc w:val="both"/>
        <w:rPr>
          <w:color w:val="000000"/>
        </w:rPr>
      </w:pPr>
      <w:r>
        <w:rPr>
          <w:color w:val="000000"/>
        </w:rPr>
        <w:t>3. </w:t>
      </w:r>
      <w:r>
        <w:t>Başlangıç olarak, birtakım inceleme yapılmaması durumları oldukça rutindir. Mahkeme</w:t>
      </w:r>
      <w:r w:rsidR="002D76FD">
        <w:t>’</w:t>
      </w:r>
      <w:r>
        <w:t>y</w:t>
      </w:r>
      <w:r>
        <w:t xml:space="preserve">e sunulan şikayetlerin büyük bir kısmı 35. </w:t>
      </w:r>
      <w:proofErr w:type="gramStart"/>
      <w:r>
        <w:t>maddede</w:t>
      </w:r>
      <w:proofErr w:type="gramEnd"/>
      <w:r>
        <w:t xml:space="preserve"> tanımlanan kabul edilebilirlik kriterlerini karşılamaz ve bu resmi gerekçelerle reddedilmelidir</w:t>
      </w:r>
      <w:r>
        <w:t xml:space="preserve">. Diğerleri, Mahkeme 37. </w:t>
      </w:r>
      <w:proofErr w:type="gramStart"/>
      <w:r>
        <w:t>maddede</w:t>
      </w:r>
      <w:proofErr w:type="gramEnd"/>
      <w:r>
        <w:t xml:space="preserve"> belirtilen koşulları karşıladıklarını belirlediğinde, Mahkeme'nin dava listesinden çıkarılır.</w:t>
      </w:r>
    </w:p>
    <w:p w:rsidR="00380A26" w:rsidRDefault="0059142E">
      <w:pPr>
        <w:pBdr>
          <w:top w:val="nil"/>
          <w:left w:val="nil"/>
          <w:bottom w:val="nil"/>
          <w:right w:val="nil"/>
          <w:between w:val="nil"/>
        </w:pBdr>
        <w:ind w:firstLine="284"/>
        <w:jc w:val="both"/>
        <w:rPr>
          <w:color w:val="000000"/>
        </w:rPr>
      </w:pPr>
      <w:r>
        <w:rPr>
          <w:color w:val="000000"/>
        </w:rPr>
        <w:t>4.  </w:t>
      </w:r>
      <w:r>
        <w:t>Yukarıdakilerin dışında, Mahkeme uygulamasında, başvuruların (veya en azından bazı şikayetlerin) incelenmeden bırakıldığı çok</w:t>
      </w:r>
      <w:r>
        <w:t xml:space="preserve"> rutin olmayan, hatta oldukça istisnai, durumlar da vardır.</w:t>
      </w:r>
    </w:p>
    <w:p w:rsidR="00380A26" w:rsidRDefault="0059142E">
      <w:pPr>
        <w:pBdr>
          <w:top w:val="nil"/>
          <w:left w:val="nil"/>
          <w:bottom w:val="nil"/>
          <w:right w:val="nil"/>
          <w:between w:val="nil"/>
        </w:pBdr>
        <w:ind w:firstLine="284"/>
        <w:jc w:val="both"/>
      </w:pPr>
      <w:r>
        <w:rPr>
          <w:color w:val="000000"/>
        </w:rPr>
        <w:t>5.  </w:t>
      </w:r>
      <w:r>
        <w:t xml:space="preserve">Pilot karar usulü olarak adlandırılan prosedür, açıklayıcı bir örnek olacaktır. Bu usul, Mahkeme, başvurucunun bireysel davasında ortaya çıkan ve davadaki ihlalin altında yatan sistemik (veya </w:t>
      </w:r>
      <w:r>
        <w:t xml:space="preserve">yapısal) bir sorun bulduğunda yerine getirilir. </w:t>
      </w:r>
      <w:proofErr w:type="gramStart"/>
      <w:r>
        <w:t>Artan sayıda benzer başvuru ve ilgili davalarda benzer bir ihlale ilişkin potansiyel bulgu göz önüne alındığında, Davalı Hükümete henüz tebliğ edilmemiş benzer başvuruların incelenmesi, bu Devlet pilot karard</w:t>
      </w:r>
      <w:r>
        <w:t xml:space="preserve">a bulunan ihlale yol açan sistemik (yapısal) sorunu çözmeye yönelik genel önlemleri kabul edene kadar ertelenir ve yalnızca halihazırda tebliğ edilmiş olan başvurular normal prosedür kapsamında </w:t>
      </w:r>
      <w:r>
        <w:lastRenderedPageBreak/>
        <w:t xml:space="preserve">incelenmeye devam eder (bakınız, örneğin, </w:t>
      </w:r>
      <w:r>
        <w:rPr>
          <w:i/>
        </w:rPr>
        <w:t>Broniowski v. Polony</w:t>
      </w:r>
      <w:r>
        <w:rPr>
          <w:i/>
        </w:rPr>
        <w:t>a</w:t>
      </w:r>
      <w:r>
        <w:t xml:space="preserve"> (esasa dair karar), [BD], no. 31443/96, ECHR 2004-V; ve Türkiye bağlamında, Ümmühan Kaplan v. Türkiye, no. 24240/07, 20 Mart 2012).</w:t>
      </w:r>
      <w:proofErr w:type="gramEnd"/>
      <w:r>
        <w:t xml:space="preserve"> Pilot kararın gerektirdiği genel tedbirlerin başarılı bir şekilde uygulanmasından sonra, ertelenen başvurular Mahkeme’nin </w:t>
      </w:r>
      <w:r>
        <w:t>dava listesinden çıkarılır ve pilot karar prosedürü bitirilir. Dolayısıyla bu prosedür, üye Devletlere ulusal düzeyde Mahkeme tarafından tespit edilen sistemik (yapısal) sorunları çözmek, ilgili eksikliklerin tüm fiili ve potansiyel mağdurları açısından Sö</w:t>
      </w:r>
      <w:r>
        <w:t>zleşme tarafından güvence altına alınan hak ve özgürlükleri güvence altına almak, onlara daha hızlı bir çözüm sunmak ve Mahkemenin yükünü hafifletmek; kural olarak, diğer önemli davalar pahasına, özünde benzer olan çok sayıda başvuruyu karara bağlamak için</w:t>
      </w:r>
      <w:r>
        <w:t xml:space="preserve"> tasarlanmıştır. Pilot karar prosedürü, aynı sistemik (yapısal) işlevsizlikten kaynaklanan bir dizi davanın neden olduğu Mahkeme'nin dava yükündeki büyümeye bir yanıt olarak ve Sözleşme mekanizmasının uzun vadeli etkinliğini sağlamak için tasarlanmıştır.</w:t>
      </w:r>
    </w:p>
    <w:p w:rsidR="00380A26" w:rsidRDefault="0059142E">
      <w:pPr>
        <w:pBdr>
          <w:top w:val="nil"/>
          <w:left w:val="nil"/>
          <w:bottom w:val="nil"/>
          <w:right w:val="nil"/>
          <w:between w:val="nil"/>
        </w:pBdr>
        <w:ind w:firstLine="284"/>
        <w:jc w:val="both"/>
      </w:pPr>
      <w:r>
        <w:rPr>
          <w:color w:val="000000"/>
        </w:rPr>
        <w:t>6</w:t>
      </w:r>
      <w:r>
        <w:rPr>
          <w:color w:val="000000"/>
        </w:rPr>
        <w:t>. </w:t>
      </w:r>
      <w:r>
        <w:t xml:space="preserve">Ne yazık ki, Devlet pilot kararı uygulamakta başarısız olmaktadır. Bu durum, pilot kararın </w:t>
      </w:r>
      <w:proofErr w:type="gramStart"/>
      <w:r>
        <w:t>kabul</w:t>
      </w:r>
      <w:proofErr w:type="gramEnd"/>
      <w:r>
        <w:t xml:space="preserve"> edildiği davada ortaya atılanlarla özde aynı sorunları ortaya çıkaran çok sayıda müteakip başvuruya sebebiyet verebilmektedir. Davalı Devletin yerine getirme</w:t>
      </w:r>
      <w:r>
        <w:t xml:space="preserve">diği, ki aksi takdirde bu göze çarpmayan bir dava olurdu, belki en iyi bilinen pilot karar örneği </w:t>
      </w:r>
      <w:r>
        <w:rPr>
          <w:i/>
        </w:rPr>
        <w:t>Yuriy Nikolayevich Ivanov v. Ukrayna</w:t>
      </w:r>
      <w:r>
        <w:t xml:space="preserve"> davasında hükmedilen karardır (</w:t>
      </w:r>
      <w:proofErr w:type="gramStart"/>
      <w:r>
        <w:t>no. 40450/04</w:t>
      </w:r>
      <w:proofErr w:type="gramEnd"/>
      <w:r>
        <w:t xml:space="preserve">, 15 Ekim 2009). Bu başarısız sonuç, Mahkeme'yi 12.143 </w:t>
      </w:r>
      <w:proofErr w:type="gramStart"/>
      <w:r>
        <w:t>kadar</w:t>
      </w:r>
      <w:proofErr w:type="gramEnd"/>
      <w:r>
        <w:t xml:space="preserve"> çok sayıda Ivanov</w:t>
      </w:r>
      <w:r>
        <w:t xml:space="preserve"> tipi izleyen başvurunun yanı sıra özellikle Burmych ve diğerleri v. Ukrayna davasında beş başvurucunun başvurularının oluşturduğu kitlesel akışla başa çıkmak için “yeni bir yaklaşım” olarak adlandırdığı şeyi benimsemesine yol açmıştır ((kayıttan düşürme) </w:t>
      </w:r>
      <w:r>
        <w:t xml:space="preserve">[BD], no. 46852/13, 12 Ekim 2017)). </w:t>
      </w:r>
      <w:r>
        <w:rPr>
          <w:i/>
        </w:rPr>
        <w:t>Burmych ve diğerleri</w:t>
      </w:r>
      <w:r>
        <w:t xml:space="preserve"> davasında Mahkeme, şimdiye </w:t>
      </w:r>
      <w:proofErr w:type="gramStart"/>
      <w:r>
        <w:t>kadar</w:t>
      </w:r>
      <w:proofErr w:type="gramEnd"/>
      <w:r>
        <w:t xml:space="preserve"> duyulmamış ve en olağanüstü şekilde süreci işletmiştir. Mahkeme, söz konusu Ivanov-tipi şeklinde adlandırılan başvuruların, davalı Devletin </w:t>
      </w:r>
      <w:r>
        <w:rPr>
          <w:i/>
        </w:rPr>
        <w:t>Yuriy Nikolayevich Ivanov</w:t>
      </w:r>
      <w:r>
        <w:t xml:space="preserve"> </w:t>
      </w:r>
      <w:r>
        <w:t>kararında kabul edilen pilot karardan kaynaklanan yükümlülüğüne uygun olarak ele alınması gerektiği sonucuna varmış, koşulların böyle bir gidişatı haklı kıldığını göz önünde bulundurarak, onları dava listesinden çıkarmıştır ve yukarıda bahsedilen pilot kar</w:t>
      </w:r>
      <w:r>
        <w:t>arın uygulanmasına ilişkin genel tedbirler çerçevesinde ele alınmaları için bunları Avrupa Konseyi Bakanlar Komitesi’ne iletmiştir. Aynı zamanda Mahkeme, bu kayıttan düşürme kararının, ilgili başvuruları veya “koşullar böyle bir süreci haklı çıkarırsa” gel</w:t>
      </w:r>
      <w:r>
        <w:t xml:space="preserve">ecekteki diğer benzer başvuruları, 37. </w:t>
      </w:r>
      <w:proofErr w:type="gramStart"/>
      <w:r>
        <w:t>maddenin</w:t>
      </w:r>
      <w:proofErr w:type="gramEnd"/>
      <w:r>
        <w:t xml:space="preserve"> 2. </w:t>
      </w:r>
      <w:proofErr w:type="gramStart"/>
      <w:r>
        <w:t>fıkrası</w:t>
      </w:r>
      <w:proofErr w:type="gramEnd"/>
      <w:r>
        <w:t xml:space="preserve"> uyarınca dava listesine geri getirme yetkisine halel getirmediğinin altını çizmiştir. Mahkeme ayrıca, </w:t>
      </w:r>
      <w:r>
        <w:rPr>
          <w:i/>
        </w:rPr>
        <w:t xml:space="preserve">Burmych ve diğerleri </w:t>
      </w:r>
      <w:r>
        <w:t>kararının verilmesinden itibaren iki yıl içinde “bu süreç zarfında bu yetk</w:t>
      </w:r>
      <w:r>
        <w:t>iyi kullanmasını haklı kılacak koşulların oluşup oluşmadığını değerlendirmek amacıyla” durumu yeniden değerlendirmenin uygun olabileceğini öngörmüştür (§ 223).</w:t>
      </w:r>
    </w:p>
    <w:p w:rsidR="00380A26" w:rsidRDefault="0059142E">
      <w:pPr>
        <w:pBdr>
          <w:top w:val="nil"/>
          <w:left w:val="nil"/>
          <w:bottom w:val="nil"/>
          <w:right w:val="nil"/>
          <w:between w:val="nil"/>
        </w:pBdr>
        <w:ind w:firstLine="284"/>
        <w:jc w:val="both"/>
      </w:pPr>
      <w:r>
        <w:rPr>
          <w:color w:val="000000"/>
        </w:rPr>
        <w:lastRenderedPageBreak/>
        <w:t>7.  </w:t>
      </w:r>
      <w:r>
        <w:t>​​</w:t>
      </w:r>
      <w:r>
        <w:rPr>
          <w:i/>
        </w:rPr>
        <w:t>Burmych ve diğerleri</w:t>
      </w:r>
      <w:r>
        <w:t xml:space="preserve"> emsali, Mahkeme'nin iş listesinin büyük ölçüde rahatlaması amacıyla g</w:t>
      </w:r>
      <w:r>
        <w:t xml:space="preserve">erçekten etkili olmuştur. Ancak Strasbourg'da adalet arayan, </w:t>
      </w:r>
      <w:proofErr w:type="gramStart"/>
      <w:r>
        <w:t>hareket(</w:t>
      </w:r>
      <w:proofErr w:type="gramEnd"/>
      <w:r>
        <w:t>sizlik)lerinden ötürü şikayette bulundukları yerel merciilere geri gönderilen başvurucular için herhangi bir şekilde etkili olup olmadığı ve dolayısıyla amacını yerine getirip getirmediği</w:t>
      </w:r>
      <w:r>
        <w:t xml:space="preserve"> henüz görülmemiştir. Mahkeme'nin başvurularını incelememeye karar verdiği başvurucular, yerel düzeyde somut bir tatmin elde etmişlerse, bu amacına başarıyla hizmet etmiş olacaktır. Bugün, </w:t>
      </w:r>
      <w:r>
        <w:rPr>
          <w:i/>
        </w:rPr>
        <w:t>Burmych ve diğerleri</w:t>
      </w:r>
      <w:r>
        <w:t xml:space="preserve"> davasında kararın kabulünün üzerinden dört yıl</w:t>
      </w:r>
      <w:r>
        <w:t xml:space="preserve"> geçmesine rağmen, aksi yönde daha fazla işaret olduğu bildirilmektedir. Böyle olmasına karşılık, yukarıda belirtilen “durumun yeniden değerlendirilmesi” Mahkeme tarafından henüz gerçekleştirilmemiştir.</w:t>
      </w:r>
    </w:p>
    <w:p w:rsidR="00380A26" w:rsidRDefault="0059142E">
      <w:pPr>
        <w:spacing w:line="276" w:lineRule="auto"/>
        <w:ind w:firstLine="220"/>
        <w:jc w:val="both"/>
      </w:pPr>
      <w:r>
        <w:t>Ama buradaki amacım bu değil.</w:t>
      </w:r>
    </w:p>
    <w:p w:rsidR="00380A26" w:rsidRDefault="0059142E">
      <w:pPr>
        <w:pBdr>
          <w:top w:val="nil"/>
          <w:left w:val="nil"/>
          <w:bottom w:val="nil"/>
          <w:right w:val="nil"/>
          <w:between w:val="nil"/>
        </w:pBdr>
        <w:ind w:firstLine="284"/>
        <w:jc w:val="both"/>
      </w:pPr>
      <w:r>
        <w:rPr>
          <w:color w:val="000000"/>
        </w:rPr>
        <w:t>8.  </w:t>
      </w:r>
      <w:r>
        <w:t xml:space="preserve">Benim amacım –mevcut davayla ilgili olarak– şu ki, </w:t>
      </w:r>
      <w:r>
        <w:rPr>
          <w:i/>
        </w:rPr>
        <w:t>Burmych ve diğerleri</w:t>
      </w:r>
      <w:r>
        <w:t xml:space="preserve"> davasındaki yedi muhalifin (Yargıç Yudkivska, Sajó, Bianku, Karakaş, De Gaetano, Laffranque ve Motoc) haklı olarak işaret ettiği gibi bu karar </w:t>
      </w:r>
      <w:r>
        <w:rPr>
          <w:i/>
        </w:rPr>
        <w:t>yargısal politikalardan</w:t>
      </w:r>
      <w:r>
        <w:t xml:space="preserve"> biridir. Muhalifl</w:t>
      </w:r>
      <w:r>
        <w:t>erin yaklaşımı (ki bu, benim görüşüme göre, onların ortak muhalefet şerhinin temelini oluşturmaktadır), ilke olarak, yargısal politika mülahazalarının hukuki muhakemenin yerine geçemeyeceği ve sonuç olarak, tek başına yargısal politika mülahazalarına dayan</w:t>
      </w:r>
      <w:r>
        <w:t>an bir kararın, başlı başına “insan haklarının yasal yorumu” ile bağdaşmayacağıdır (bakınız onların görüşlerinin 1. paragrafı).</w:t>
      </w:r>
    </w:p>
    <w:p w:rsidR="00380A26" w:rsidRDefault="0059142E" w:rsidP="00E33812">
      <w:pPr>
        <w:ind w:firstLine="220"/>
        <w:jc w:val="both"/>
      </w:pPr>
      <w:r>
        <w:t>İdeal olarak, evet. Gerçek hayatta, değişebilir. İdeal bir dünyada, yargı kararları gerçekten de yalnızca veya en azından önceli</w:t>
      </w:r>
      <w:r>
        <w:t>kle yasal argümanla temellendirilmelidir. Ama dünya mükemmel bir yer değil. İnsan, adalet yerini bulsun, gerekirse dünya yok olsun heybetli özdeyişini ilan ettiğinde, kendine şunu da sormalıdır: Yok olan bir dünyada adalet ne olurdu? Böyle bir dünyada adal</w:t>
      </w:r>
      <w:r>
        <w:t>et ne anlam ifade ederdi? Herhangi bir pratik anlamı olur muydu? Ve hiç mümkün olacak mıydı?</w:t>
      </w:r>
    </w:p>
    <w:p w:rsidR="00380A26" w:rsidRDefault="0059142E" w:rsidP="00E33812">
      <w:pPr>
        <w:ind w:firstLine="220"/>
        <w:jc w:val="both"/>
      </w:pPr>
      <w:r>
        <w:rPr>
          <w:i/>
        </w:rPr>
        <w:t>Burmych ve diğerleri</w:t>
      </w:r>
      <w:r>
        <w:t xml:space="preserve">’nde Mahkeme, </w:t>
      </w:r>
      <w:proofErr w:type="gramStart"/>
      <w:r>
        <w:t>ideal(</w:t>
      </w:r>
      <w:proofErr w:type="gramEnd"/>
      <w:r>
        <w:t>ist) başvuru-değerlendirme standartlarından ayrılmaktan ve incelenmesi faaliyetlerini felç edecek potansiyel olarak kayda d</w:t>
      </w:r>
      <w:r>
        <w:t xml:space="preserve">eğer binlerce başvurudan kendisini kurtarmaktan başka seçeneği kalmadığını, yine de yerel düzeyde başvuru sahiplerine bazı (görünüşe göre verimli olmasa da) tazmin prosedürleri sağladığını ifade etmiştir. Mahkeme, herhangi başka bir alternatifin daha kötü </w:t>
      </w:r>
      <w:r>
        <w:t xml:space="preserve">olabileceğine karar vermiştir. </w:t>
      </w:r>
      <w:r>
        <w:rPr>
          <w:i/>
        </w:rPr>
        <w:t>Burmych ve diğerleri</w:t>
      </w:r>
      <w:r>
        <w:t xml:space="preserve"> yasal olarak haklı olmasa, o zaman en azından açıklanabilirdi ve bu nedenle Mahkeme'nin daha geniş misyonunu güvence altına almaya yönelik acil ihtiyaç açısından savunulabilirdi. Bu karar, Mahkeme her tür</w:t>
      </w:r>
      <w:r>
        <w:t>den beklenmedik kötü olasılığının, ister istemez, farkında olduğu için isteksizce alınmıştır.</w:t>
      </w:r>
    </w:p>
    <w:p w:rsidR="00380A26" w:rsidRDefault="0059142E">
      <w:pPr>
        <w:pBdr>
          <w:top w:val="nil"/>
          <w:left w:val="nil"/>
          <w:bottom w:val="nil"/>
          <w:right w:val="nil"/>
          <w:between w:val="nil"/>
        </w:pBdr>
        <w:ind w:firstLine="284"/>
        <w:jc w:val="both"/>
      </w:pPr>
      <w:r>
        <w:rPr>
          <w:color w:val="000000"/>
        </w:rPr>
        <w:t>9.  </w:t>
      </w:r>
      <w:r>
        <w:rPr>
          <w:i/>
        </w:rPr>
        <w:t xml:space="preserve">Burmych ve diğerleri </w:t>
      </w:r>
      <w:r>
        <w:t>kararının, tıpkı pilot kararlar gibi, “incelemeye gerek yok” (veya ikiz kardeşi “inceleme zaruri değil”) formülünü içermediğine dikkat ed</w:t>
      </w:r>
      <w:r>
        <w:t xml:space="preserve">ilmelidir. Tüm metinde </w:t>
      </w:r>
      <w:r>
        <w:rPr>
          <w:i/>
        </w:rPr>
        <w:t>hiçbir yerde</w:t>
      </w:r>
      <w:r>
        <w:t xml:space="preserve">. Mahkeme, incelememeye karar verdiği şikayetleri hak etmeyen, yani inceleme </w:t>
      </w:r>
      <w:r>
        <w:lastRenderedPageBreak/>
        <w:t xml:space="preserve">gerektirmeyen olarak görmemiştir. Hem de hiç. Bunun yerine, bu şikayetlerin incelemeyi </w:t>
      </w:r>
      <w:r>
        <w:rPr>
          <w:i/>
        </w:rPr>
        <w:t>hak ettiğini</w:t>
      </w:r>
      <w:r>
        <w:t>, ancak bu koşullar altında Mahkeme tarafında</w:t>
      </w:r>
      <w:r>
        <w:t xml:space="preserve">n etkin bir şekilde </w:t>
      </w:r>
      <w:r>
        <w:rPr>
          <w:i/>
        </w:rPr>
        <w:t>incelenemeyeceğine</w:t>
      </w:r>
      <w:r>
        <w:t xml:space="preserve"> karar vermiştir. İncelenmemiş başvuruları 37. </w:t>
      </w:r>
      <w:proofErr w:type="gramStart"/>
      <w:r>
        <w:t>maddenin</w:t>
      </w:r>
      <w:proofErr w:type="gramEnd"/>
      <w:r>
        <w:t xml:space="preserve"> 1. </w:t>
      </w:r>
      <w:proofErr w:type="gramStart"/>
      <w:r>
        <w:t>fıkrasının</w:t>
      </w:r>
      <w:proofErr w:type="gramEnd"/>
      <w:r>
        <w:t xml:space="preserve"> c bendi uyarınca dava listesinden çıkarmıştır ve bunları “[ilgili, uygulanmamış] pilot kararın uygulanmasına ilişkin genel tedbirler çerçevesinde el</w:t>
      </w:r>
      <w:r>
        <w:t>e alınmaları için” Bakanlar Komitesine iletmiştir (hüküm bölümünün 4. noktası). Mahkeme, "incelemeye gerek yok" formülünü kullanmak yerine, "[bu] başvuruları incelemeye devam etmenin haklı olup olmadığını" (§ 175) değerlendirmiş, yani, 37.</w:t>
      </w:r>
      <w:r w:rsidR="00E33812">
        <w:t xml:space="preserve"> </w:t>
      </w:r>
      <w:proofErr w:type="gramStart"/>
      <w:r>
        <w:t>maddenin</w:t>
      </w:r>
      <w:proofErr w:type="gramEnd"/>
      <w:r>
        <w:t xml:space="preserve"> 1.</w:t>
      </w:r>
      <w:r w:rsidR="00E33812">
        <w:t xml:space="preserve"> </w:t>
      </w:r>
      <w:proofErr w:type="gramStart"/>
      <w:r>
        <w:t>fıkras</w:t>
      </w:r>
      <w:r>
        <w:t>ının</w:t>
      </w:r>
      <w:proofErr w:type="gramEnd"/>
      <w:r>
        <w:t xml:space="preserve"> c bendinin tam ifadesini kullanmıştır. Ancak “haklı” kelimesi bile, belki de adalet (yalnızca bir resmi yasal terim olmamakla birlikte) çağrışımına sahip olduğu için, </w:t>
      </w:r>
      <w:r>
        <w:rPr>
          <w:i/>
        </w:rPr>
        <w:t>Burmych ve diğerleri</w:t>
      </w:r>
      <w:r>
        <w:t xml:space="preserve"> kararının hüküm kısmında yer almamaktadır.</w:t>
      </w:r>
    </w:p>
    <w:p w:rsidR="00380A26" w:rsidRDefault="0059142E">
      <w:pPr>
        <w:pBdr>
          <w:top w:val="nil"/>
          <w:left w:val="nil"/>
          <w:bottom w:val="nil"/>
          <w:right w:val="nil"/>
          <w:between w:val="nil"/>
        </w:pBdr>
        <w:ind w:firstLine="284"/>
        <w:jc w:val="both"/>
      </w:pPr>
      <w:r>
        <w:rPr>
          <w:color w:val="000000"/>
        </w:rPr>
        <w:t>10.  </w:t>
      </w:r>
      <w:r>
        <w:rPr>
          <w:i/>
        </w:rPr>
        <w:t>Burmych ve diğe</w:t>
      </w:r>
      <w:r>
        <w:rPr>
          <w:i/>
        </w:rPr>
        <w:t>rleri</w:t>
      </w:r>
      <w:r>
        <w:t xml:space="preserve"> içtihadını mevcut davayla bu </w:t>
      </w:r>
      <w:proofErr w:type="gramStart"/>
      <w:r>
        <w:t>kadar</w:t>
      </w:r>
      <w:proofErr w:type="gramEnd"/>
      <w:r>
        <w:t xml:space="preserve"> ilgili kılan şey, mevcut davada Mahkeme’nin, yargı politikasını, kararlarından birinin esası veya daha doğrusu yegane dayanağı olarak meşrulaştırmış olmasıdır. Ve sadece ilgili şikayetleri incelemekten kaçınmaya kar</w:t>
      </w:r>
      <w:r>
        <w:t>ar vermekle kalmamış, aynı zamanda bu kararı açık ve şeffaf bir şekilde kavramsallaştırmıştır. Kim Mahkeme’nin bu tıkanık iş listesini açtığı için mahkemeye sitem ederse etsin, en azından bu kararın altında yatan sebepler konusunda kaçamak olmakla suçlayam</w:t>
      </w:r>
      <w:r>
        <w:t xml:space="preserve">az. Artık, Mahkeme'nin ilke olarak bazı şikayetleri incelemeden bırakma kararı, </w:t>
      </w:r>
      <w:r>
        <w:rPr>
          <w:i/>
        </w:rPr>
        <w:t>salt hukuk alanında değil, gerçek yaşam alanında meydana gelen</w:t>
      </w:r>
      <w:r>
        <w:t xml:space="preserve"> çok istisnai durumlara ilişkin -yasal olarak gerekçelendirilmemişse en azından olgusal olarak açıklanabilir- yarg</w:t>
      </w:r>
      <w:r>
        <w:t xml:space="preserve">ı politikası mülahazalarına atıfta bulunarak doğrulanabilir.  Böyle bir yol, en hafif tabirle, salt </w:t>
      </w:r>
      <w:proofErr w:type="gramStart"/>
      <w:r>
        <w:t>yasal(</w:t>
      </w:r>
      <w:proofErr w:type="gramEnd"/>
      <w:r>
        <w:t>cı) perspektiften düzgün bir yol değildir. Ama artık şimdi Mahkeme'nin içtihadının bir parçası. Mahkeme’nin bu yönteme başvurmasının savunulabilir old</w:t>
      </w:r>
      <w:r>
        <w:t>uğu koşulların istisnai, hatta olağanüstü olması gerektiğini söylemeye gerek yok.</w:t>
      </w:r>
    </w:p>
    <w:p w:rsidR="00380A26" w:rsidRDefault="00380A26">
      <w:pPr>
        <w:ind w:firstLine="284"/>
        <w:jc w:val="both"/>
      </w:pPr>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ind w:left="397"/>
        <w:jc w:val="center"/>
        <w:rPr>
          <w:smallCaps/>
          <w:color w:val="000000"/>
        </w:rPr>
      </w:pPr>
      <w:r>
        <w:rPr>
          <w:smallCaps/>
          <w:color w:val="000000"/>
        </w:rPr>
        <w:t>II</w:t>
      </w:r>
    </w:p>
    <w:p w:rsidR="00380A26" w:rsidRDefault="0059142E">
      <w:pPr>
        <w:pBdr>
          <w:top w:val="nil"/>
          <w:left w:val="nil"/>
          <w:bottom w:val="nil"/>
          <w:right w:val="nil"/>
          <w:between w:val="nil"/>
        </w:pBdr>
        <w:ind w:firstLine="284"/>
        <w:jc w:val="both"/>
      </w:pPr>
      <w:r>
        <w:rPr>
          <w:color w:val="000000"/>
        </w:rPr>
        <w:t>11. </w:t>
      </w:r>
      <w:r>
        <w:t xml:space="preserve">Pilot kararlar ve </w:t>
      </w:r>
      <w:r>
        <w:rPr>
          <w:i/>
        </w:rPr>
        <w:t xml:space="preserve">Burmych ve diğerleri </w:t>
      </w:r>
      <w:r>
        <w:t>emsali, çok istisnai durumlarda belirli şikayetlerin (uygulamaların) incelenmemesine ilişkindir. Ancak Mahkeme, bir veya birkaç şikayeti rutin olarak inceleyerek, aynı başvuruda ileri sürülen belirli “diğer” şikayetleri incelememeye karar vermektedir.</w:t>
      </w:r>
    </w:p>
    <w:p w:rsidR="00380A26" w:rsidRDefault="0059142E">
      <w:pPr>
        <w:pBdr>
          <w:top w:val="nil"/>
          <w:left w:val="nil"/>
          <w:bottom w:val="nil"/>
          <w:right w:val="nil"/>
          <w:between w:val="nil"/>
        </w:pBdr>
        <w:ind w:firstLine="284"/>
        <w:jc w:val="both"/>
      </w:pPr>
      <w:r>
        <w:rPr>
          <w:color w:val="000000"/>
        </w:rPr>
        <w:t>12. </w:t>
      </w:r>
      <w:r>
        <w:t xml:space="preserve">Belirli durumlarda “incelemeye gerek yok” yaklaşımı yasal olarak savunulabilir ve Mahkeme tarafından meşru olarak </w:t>
      </w:r>
      <w:proofErr w:type="gramStart"/>
      <w:r>
        <w:t>kabul</w:t>
      </w:r>
      <w:proofErr w:type="gramEnd"/>
      <w:r>
        <w:t xml:space="preserve"> edilmektedir. Bu durum, "diğer" şikayetler, ayrı olarak formüle edilmiş olsalar da, o davada halihazırda incelenen </w:t>
      </w:r>
      <w:proofErr w:type="gramStart"/>
      <w:r>
        <w:t>şikayet(</w:t>
      </w:r>
      <w:proofErr w:type="gramEnd"/>
      <w:r>
        <w:t>ler)le örtüşt</w:t>
      </w:r>
      <w:r>
        <w:t xml:space="preserve">üğü için birbiriyle ilişkili olduğunda böyledir. Birbirleriyle örtüşürler, çünkü ya aynı olgusal bağlamı paylaşırlar ya da </w:t>
      </w:r>
      <w:proofErr w:type="gramStart"/>
      <w:r>
        <w:t>Sözleşme'nin</w:t>
      </w:r>
      <w:proofErr w:type="gramEnd"/>
      <w:r>
        <w:t xml:space="preserve"> birbiriyle ilişkili hükümlerine başvururlar. Bu veya başka türden örtüşme, aynı hukuki meseleyi gündeme getirmek ve bunl</w:t>
      </w:r>
      <w:r>
        <w:t xml:space="preserve">arın başka bir açıdan yeniden incelenmesini gerektirmeden, bu konu, </w:t>
      </w:r>
      <w:r>
        <w:lastRenderedPageBreak/>
        <w:t>olgusal veya yasal bir açıdan zaten incelendikten sonra Mahkeme’nin bu tür şikayetleri ele almasına izin verir ve hatta bunu gerektirir.</w:t>
      </w:r>
    </w:p>
    <w:p w:rsidR="00380A26" w:rsidRDefault="0059142E">
      <w:pPr>
        <w:pBdr>
          <w:top w:val="nil"/>
          <w:left w:val="nil"/>
          <w:bottom w:val="nil"/>
          <w:right w:val="nil"/>
          <w:between w:val="nil"/>
        </w:pBdr>
        <w:ind w:firstLine="284"/>
        <w:jc w:val="both"/>
      </w:pPr>
      <w:r>
        <w:rPr>
          <w:color w:val="000000"/>
        </w:rPr>
        <w:t>13. </w:t>
      </w:r>
      <w:r>
        <w:t>Şikayetlerin "olgusal örtüşmesi", Mahkeme'nin b</w:t>
      </w:r>
      <w:r>
        <w:t>unun pragmatik, bu anlamda haklı, olacağına karar vermesine neden olabilir ve esasen aynı şikayeti yeniden incelemeyebilir ve inceleme yapılmaması, Sözleşme hukukunun gelişiminin veya başvurucunun aleyhine olmayacaktır.</w:t>
      </w:r>
    </w:p>
    <w:p w:rsidR="00380A26" w:rsidRDefault="0059142E">
      <w:pPr>
        <w:pBdr>
          <w:top w:val="nil"/>
          <w:left w:val="nil"/>
          <w:bottom w:val="nil"/>
          <w:right w:val="nil"/>
          <w:between w:val="nil"/>
        </w:pBdr>
        <w:ind w:firstLine="284"/>
        <w:jc w:val="both"/>
      </w:pPr>
      <w:r>
        <w:t>Mahkeme, bu “olgusal örtüşmeyi” beli</w:t>
      </w:r>
      <w:r>
        <w:t xml:space="preserve">rlemek için çeşitli teknikler oluşturur ve çeşitli tanımlamalarda bulunur. Bu teknikler ve tanımlamalar o </w:t>
      </w:r>
      <w:proofErr w:type="gramStart"/>
      <w:r>
        <w:t>kadar</w:t>
      </w:r>
      <w:proofErr w:type="gramEnd"/>
      <w:r>
        <w:t xml:space="preserve"> çeşitlidir ki, bunları herhangi bir tipolojide düzenlemek imkansız değilse de çok zordur. İşte sonsuz çeşitlerden çok yeni birkaç örnek. </w:t>
      </w:r>
      <w:r>
        <w:rPr>
          <w:i/>
        </w:rPr>
        <w:t>Dareski</w:t>
      </w:r>
      <w:r>
        <w:rPr>
          <w:i/>
        </w:rPr>
        <w:t>zb Ltd. v. Ermenistan</w:t>
      </w:r>
      <w:r>
        <w:t xml:space="preserve"> davasında (no. 61737/08, § 93, 21 Eylül 2021, henüz kesin değil) Mahkeme, başvurucu şirketin mahkemeye erişiminin reddedildiğine ilişkin 6. </w:t>
      </w:r>
      <w:proofErr w:type="gramStart"/>
      <w:r>
        <w:t>maddenin</w:t>
      </w:r>
      <w:proofErr w:type="gramEnd"/>
      <w:r>
        <w:t xml:space="preserve"> 1. </w:t>
      </w:r>
      <w:proofErr w:type="gramStart"/>
      <w:r>
        <w:t>fıkrası</w:t>
      </w:r>
      <w:proofErr w:type="gramEnd"/>
      <w:r>
        <w:t xml:space="preserve"> kapsamındaki bulgularını göz önünde bulundurarak, söz konusu mahkemenin ol</w:t>
      </w:r>
      <w:r>
        <w:t xml:space="preserve">uşumu bakımından da bu maddenin ihlal edilip edilmediğinin incelenmesinin “gerekli olmadığına” karar vermiştir. </w:t>
      </w:r>
      <w:proofErr w:type="gramStart"/>
      <w:r>
        <w:t xml:space="preserve">Çocuğun velayet davalarında dinlenilme hakkı ve </w:t>
      </w:r>
      <w:r>
        <w:rPr>
          <w:i/>
        </w:rPr>
        <w:t>çocuğun çıkarlarını korumak için özel bir vasi tayin etme ihtiyacı</w:t>
      </w:r>
      <w:r>
        <w:t xml:space="preserve">na ilişkin </w:t>
      </w:r>
      <w:r>
        <w:rPr>
          <w:i/>
        </w:rPr>
        <w:t>C. v. Hırvatistan</w:t>
      </w:r>
      <w:r>
        <w:t xml:space="preserve"> d</w:t>
      </w:r>
      <w:r>
        <w:t>avasında (no. 80117/17, § 81, 8 Ekim 2020), Mahkeme kusurlu temsil ve başvurucunun görüşlerini yargılamada usulüne uygun olarak sunmamanın ve dinlememenin birleşiminin, davadaki karar verme sürecini telafi edilemez bir şekilde baltaladığına ve “herhangi bi</w:t>
      </w:r>
      <w:r>
        <w:t>r hazırlık veya adaptasyon süresi olmaksızın velayetin babasına verilmesi kararının kabul edilmesiyle başvurucunun yüksek menfaatlerinin uygun şekilde değerlendirilip değerlendirilmediğini veya bu kararın uygulanmasının 8.</w:t>
      </w:r>
      <w:proofErr w:type="gramEnd"/>
      <w:r>
        <w:t xml:space="preserve"> </w:t>
      </w:r>
      <w:proofErr w:type="gramStart"/>
      <w:r>
        <w:t>madde</w:t>
      </w:r>
      <w:proofErr w:type="gramEnd"/>
      <w:r>
        <w:t xml:space="preserve"> ile uyumlu olup olmadığını </w:t>
      </w:r>
      <w:r>
        <w:t>inceleme ihtiyacı”nı gereksiz kıldığına karar vermiştir.</w:t>
      </w:r>
    </w:p>
    <w:p w:rsidR="00380A26" w:rsidRDefault="0059142E">
      <w:pPr>
        <w:pBdr>
          <w:top w:val="nil"/>
          <w:left w:val="nil"/>
          <w:bottom w:val="nil"/>
          <w:right w:val="nil"/>
          <w:between w:val="nil"/>
        </w:pBdr>
        <w:ind w:firstLine="284"/>
        <w:jc w:val="both"/>
      </w:pPr>
      <w:r>
        <w:rPr>
          <w:color w:val="000000"/>
        </w:rPr>
        <w:t>14.  </w:t>
      </w:r>
      <w:r>
        <w:t xml:space="preserve">Tipik bir “hukuki örtüşme” örneği, Mahkeme'den </w:t>
      </w:r>
      <w:proofErr w:type="gramStart"/>
      <w:r>
        <w:t>Sözleşme'nin</w:t>
      </w:r>
      <w:proofErr w:type="gramEnd"/>
      <w:r>
        <w:t xml:space="preserve"> iki farklı hükmü kapsamında biri diğerini en azından kısmen kapsayan (veya içine alan) -mesela özel kural ve genel kural olarak sırası</w:t>
      </w:r>
      <w:r>
        <w:t xml:space="preserve">yla 6. </w:t>
      </w:r>
      <w:proofErr w:type="gramStart"/>
      <w:r>
        <w:t>maddenin</w:t>
      </w:r>
      <w:proofErr w:type="gramEnd"/>
      <w:r>
        <w:t xml:space="preserve"> 1. </w:t>
      </w:r>
      <w:proofErr w:type="gramStart"/>
      <w:r>
        <w:t>fıkrası</w:t>
      </w:r>
      <w:proofErr w:type="gramEnd"/>
      <w:r>
        <w:t xml:space="preserve"> ve 13. </w:t>
      </w:r>
      <w:proofErr w:type="gramStart"/>
      <w:r>
        <w:t>madde</w:t>
      </w:r>
      <w:proofErr w:type="gramEnd"/>
      <w:r>
        <w:t xml:space="preserve"> kapsamında veya 11. </w:t>
      </w:r>
      <w:proofErr w:type="gramStart"/>
      <w:r>
        <w:t>madde</w:t>
      </w:r>
      <w:proofErr w:type="gramEnd"/>
      <w:r>
        <w:t xml:space="preserve"> (özel kural) ve 10.madde (genel kural)- aynı olgusal durumu değerlendirmesinin talep edildiği, görünüşte ayrı şikayetlerin birbiriyle ilişkili olmasıdır. Sözleşmenin özel hükmüne dayalı olar</w:t>
      </w:r>
      <w:r>
        <w:t>ak ihlal edildiği tespit edilirse, aynı konunun genel bir hüküm kapsamında yeniden incelenmesi normalde gereksiz olacaktır.</w:t>
      </w:r>
    </w:p>
    <w:p w:rsidR="00380A26" w:rsidRDefault="0059142E">
      <w:pPr>
        <w:pBdr>
          <w:top w:val="nil"/>
          <w:left w:val="nil"/>
          <w:bottom w:val="nil"/>
          <w:right w:val="nil"/>
          <w:between w:val="nil"/>
        </w:pBdr>
        <w:ind w:firstLine="284"/>
        <w:jc w:val="both"/>
      </w:pPr>
      <w:r>
        <w:rPr>
          <w:color w:val="000000"/>
        </w:rPr>
        <w:t>15. </w:t>
      </w:r>
      <w:r>
        <w:t>Bu kendi kendini sınırlayan pozisyonu alıp almamaya karar verirken, Mahkeme'nin dar olmayan bir takdir yetkisi vardır. Çakışan i</w:t>
      </w:r>
      <w:r>
        <w:t xml:space="preserve">kinci, üçüncü vb. şikayetlerin incelenmeden bırakıldığı içtihat çoktur. </w:t>
      </w:r>
    </w:p>
    <w:p w:rsidR="00380A26" w:rsidRDefault="0059142E">
      <w:pPr>
        <w:pBdr>
          <w:top w:val="nil"/>
          <w:left w:val="nil"/>
          <w:bottom w:val="nil"/>
          <w:right w:val="nil"/>
          <w:between w:val="nil"/>
        </w:pBdr>
        <w:ind w:firstLine="284"/>
        <w:jc w:val="both"/>
      </w:pPr>
      <w:r>
        <w:t>Bu gibi durumlarda, "incelemeye gerek yok" (veya “inceleme zaruri değil") formülü, tam olarak adı üstünde ne demekse o anlama gelir. Mahkeme'nin yaklaşımını ve belirli şikayetleri inc</w:t>
      </w:r>
      <w:r>
        <w:t>elememe kararının arkasındaki nedenleri yeterince temsil ettiği için, yanıltıcı veya aldatıcı değildir.</w:t>
      </w:r>
    </w:p>
    <w:p w:rsidR="00380A26" w:rsidRDefault="0059142E">
      <w:pPr>
        <w:pBdr>
          <w:top w:val="nil"/>
          <w:left w:val="nil"/>
          <w:bottom w:val="nil"/>
          <w:right w:val="nil"/>
          <w:between w:val="nil"/>
        </w:pBdr>
        <w:ind w:firstLine="284"/>
        <w:jc w:val="both"/>
      </w:pPr>
      <w:r>
        <w:rPr>
          <w:color w:val="000000"/>
        </w:rPr>
        <w:lastRenderedPageBreak/>
        <w:t>16. </w:t>
      </w:r>
      <w:r>
        <w:t>Buna paralel olarak, başvurucuların şikayetlerinin incelenmesinin açıkça incelemeyi hak ettiği durumlarda da “incelemeye gerek yok” formülü kullanıl</w:t>
      </w:r>
      <w:r>
        <w:t>mıştır.</w:t>
      </w:r>
    </w:p>
    <w:p w:rsidR="00380A26" w:rsidRDefault="0059142E">
      <w:pPr>
        <w:spacing w:line="276" w:lineRule="auto"/>
        <w:ind w:firstLine="220"/>
        <w:jc w:val="both"/>
      </w:pPr>
      <w:r>
        <w:t>Kabaca, söz konusu formülün kullanıldığı bu tür tüm durumlar, üç kategoriden birine girer.</w:t>
      </w:r>
    </w:p>
    <w:p w:rsidR="00380A26" w:rsidRDefault="0059142E">
      <w:pPr>
        <w:pBdr>
          <w:top w:val="nil"/>
          <w:left w:val="nil"/>
          <w:bottom w:val="nil"/>
          <w:right w:val="nil"/>
          <w:between w:val="nil"/>
        </w:pBdr>
        <w:ind w:firstLine="284"/>
        <w:jc w:val="both"/>
      </w:pPr>
      <w:r>
        <w:rPr>
          <w:color w:val="000000"/>
        </w:rPr>
        <w:t>17. </w:t>
      </w:r>
      <w:r>
        <w:t xml:space="preserve">İlk kategori, bir başvurucunun 18. </w:t>
      </w:r>
      <w:proofErr w:type="gramStart"/>
      <w:r>
        <w:t>madde</w:t>
      </w:r>
      <w:proofErr w:type="gramEnd"/>
      <w:r>
        <w:t xml:space="preserve"> uyarınca şikayette bulunduğu siyasi açıdan hassas davaları içerir. Bir Sözleşme hükmünün ihlal edildiğini tespit eden Mahkeme, yine de bu ihlalin “gizli bir amaç”tan kaynaklanıp kaynaklanmadığını incelemenin “gerekl</w:t>
      </w:r>
      <w:r>
        <w:t xml:space="preserve">i olmadığına” karar verir. Bu soruya olumlu yanıt verilirse (ki bu genellikle çok açıktır), bu durum 18. </w:t>
      </w:r>
      <w:proofErr w:type="gramStart"/>
      <w:r>
        <w:t>maddenin</w:t>
      </w:r>
      <w:proofErr w:type="gramEnd"/>
      <w:r>
        <w:t xml:space="preserve"> ihlal edildiğine ilişkin resmi bulguyu tetikleyebilir. Bu, Mahkeme'nin bir değil birkaç Sözleşme hükmünün ihlal edildiğini tespit etmesi durum</w:t>
      </w:r>
      <w:r>
        <w:t>unda daha da geçerli olacaktır.</w:t>
      </w:r>
    </w:p>
    <w:p w:rsidR="00380A26" w:rsidRDefault="0059142E">
      <w:pPr>
        <w:pBdr>
          <w:top w:val="nil"/>
          <w:left w:val="nil"/>
          <w:bottom w:val="nil"/>
          <w:right w:val="nil"/>
          <w:between w:val="nil"/>
        </w:pBdr>
        <w:ind w:firstLine="284"/>
        <w:jc w:val="both"/>
      </w:pPr>
      <w:r>
        <w:t xml:space="preserve">Başvurucuların 18. </w:t>
      </w:r>
      <w:proofErr w:type="gramStart"/>
      <w:r>
        <w:t>madde</w:t>
      </w:r>
      <w:proofErr w:type="gramEnd"/>
      <w:r>
        <w:t xml:space="preserve"> kapsamındaki haklı nedenlere dayanan şikayetlerini inceleme konusundaki bu tür üzücü isteksizliğin bir örneği (aslında pek çoğundan biri), Mahkeme’nin, 5. </w:t>
      </w:r>
      <w:proofErr w:type="gramStart"/>
      <w:r>
        <w:t>maddenin</w:t>
      </w:r>
      <w:proofErr w:type="gramEnd"/>
      <w:r>
        <w:t xml:space="preserve"> 1. </w:t>
      </w:r>
      <w:proofErr w:type="gramStart"/>
      <w:r>
        <w:t>fıkrasının</w:t>
      </w:r>
      <w:proofErr w:type="gramEnd"/>
      <w:r>
        <w:t xml:space="preserve">, 6. </w:t>
      </w:r>
      <w:proofErr w:type="gramStart"/>
      <w:r>
        <w:t>maddenin</w:t>
      </w:r>
      <w:proofErr w:type="gramEnd"/>
      <w:r>
        <w:t xml:space="preserve"> 1. </w:t>
      </w:r>
      <w:proofErr w:type="gramStart"/>
      <w:r>
        <w:t>fıkra</w:t>
      </w:r>
      <w:r>
        <w:t>sının</w:t>
      </w:r>
      <w:proofErr w:type="gramEnd"/>
      <w:r>
        <w:t xml:space="preserve"> ve 11. </w:t>
      </w:r>
      <w:proofErr w:type="gramStart"/>
      <w:r>
        <w:t>maddesinin</w:t>
      </w:r>
      <w:proofErr w:type="gramEnd"/>
      <w:r>
        <w:t xml:space="preserve"> ihlal edildiğini, kendi ifadesiyle, “[başvurucuları] ve diğerlerini ... aktif olarak muhalif siyasete girmekten alıkoyma ve caydırma etkisine sahip” olduğunu tespit ettiği </w:t>
      </w:r>
      <w:r>
        <w:rPr>
          <w:i/>
        </w:rPr>
        <w:t xml:space="preserve">Kasparov ve diğerleri v. Rusya </w:t>
      </w:r>
      <w:r>
        <w:t>(no. 2) (no. 51988/07, 13 Ara</w:t>
      </w:r>
      <w:r>
        <w:t xml:space="preserve">lık 2016) kararıdır. Mahkeme bu tespitten sonra frene basmıştır. “Bu ihlal tespitini göz önünde bulundurarak” “18. </w:t>
      </w:r>
      <w:proofErr w:type="gramStart"/>
      <w:r>
        <w:t>maddenin</w:t>
      </w:r>
      <w:proofErr w:type="gramEnd"/>
      <w:r>
        <w:t xml:space="preserve"> ihlal edilip edilmediğini incelemenin gerekli olmadığı” sonucuna varmıştır (§ 55).</w:t>
      </w:r>
    </w:p>
    <w:p w:rsidR="00380A26" w:rsidRDefault="0059142E">
      <w:pPr>
        <w:pBdr>
          <w:top w:val="nil"/>
          <w:left w:val="nil"/>
          <w:bottom w:val="nil"/>
          <w:right w:val="nil"/>
          <w:between w:val="nil"/>
        </w:pBdr>
        <w:ind w:firstLine="284"/>
        <w:jc w:val="both"/>
      </w:pPr>
      <w:r>
        <w:t xml:space="preserve">Bu tür kaçamak kararlar, Rusya ve Türkiye aleyhine siyasi açıdan hassas bazı davalarda benimsenmiştir. Türkiye (mevcut davada davalı Devlet olan) ile ilgili olarak, örneğin </w:t>
      </w:r>
      <w:r>
        <w:rPr>
          <w:i/>
        </w:rPr>
        <w:t xml:space="preserve">Şahin Alpay v. Türkiye </w:t>
      </w:r>
      <w:r>
        <w:t xml:space="preserve">(no. 16538/17, 20 Mart 2018), </w:t>
      </w:r>
      <w:r>
        <w:rPr>
          <w:i/>
        </w:rPr>
        <w:t>Mehmet Hasan Altan v. Türkiye</w:t>
      </w:r>
      <w:r>
        <w:t xml:space="preserve"> </w:t>
      </w:r>
      <w:r>
        <w:t>(</w:t>
      </w:r>
      <w:proofErr w:type="gramStart"/>
      <w:r>
        <w:t>no. 13237/17</w:t>
      </w:r>
      <w:proofErr w:type="gramEnd"/>
      <w:r>
        <w:t xml:space="preserve">, 20 Mart 2018) veya Atilla Taş v. Türkiye (no. 72/17, 19 Ocak 2021) kararları örnek gösterilebilir. </w:t>
      </w:r>
      <w:r>
        <w:rPr>
          <w:i/>
        </w:rPr>
        <w:t>Sabuncu v. Türkiye</w:t>
      </w:r>
      <w:r>
        <w:t xml:space="preserve"> (</w:t>
      </w:r>
      <w:proofErr w:type="gramStart"/>
      <w:r>
        <w:t>no. 23199/17</w:t>
      </w:r>
      <w:proofErr w:type="gramEnd"/>
      <w:r>
        <w:t xml:space="preserve">, 10 Kasım 2020) ve </w:t>
      </w:r>
      <w:r>
        <w:rPr>
          <w:i/>
        </w:rPr>
        <w:t>Ahmet Hüsrev Altan v. Türkiye</w:t>
      </w:r>
      <w:r>
        <w:t xml:space="preserve"> (no. 13252/17,</w:t>
      </w:r>
      <w:r w:rsidR="006D338C">
        <w:t xml:space="preserve"> 13 Nisan 2021) kararlarındaki k</w:t>
      </w:r>
      <w:r>
        <w:t xml:space="preserve">ısmen muhalif </w:t>
      </w:r>
      <w:r>
        <w:t>görüşlerimde bu yaklaşıma katılmadığımı açıkça belirttim.</w:t>
      </w:r>
    </w:p>
    <w:p w:rsidR="00380A26" w:rsidRDefault="0059142E">
      <w:pPr>
        <w:pBdr>
          <w:top w:val="nil"/>
          <w:left w:val="nil"/>
          <w:bottom w:val="nil"/>
          <w:right w:val="nil"/>
          <w:between w:val="nil"/>
        </w:pBdr>
        <w:ind w:firstLine="284"/>
        <w:jc w:val="both"/>
      </w:pPr>
      <w:r>
        <w:t xml:space="preserve">Ancak burada sadece kapsayıcı olması açısından bu konuya değinilmiştir. Mevcut davadaki başvurucular, 18. </w:t>
      </w:r>
      <w:proofErr w:type="gramStart"/>
      <w:r>
        <w:t>madde</w:t>
      </w:r>
      <w:proofErr w:type="gramEnd"/>
      <w:r>
        <w:t xml:space="preserve"> kapsamında şikayette bulunmamışlardır. Bu nedenle, bu “hak edilmeyen” şikayet kategori</w:t>
      </w:r>
      <w:r>
        <w:t>si bir kenara bırakılabilir.</w:t>
      </w:r>
    </w:p>
    <w:p w:rsidR="00380A26" w:rsidRDefault="0059142E">
      <w:pPr>
        <w:pBdr>
          <w:top w:val="nil"/>
          <w:left w:val="nil"/>
          <w:bottom w:val="nil"/>
          <w:right w:val="nil"/>
          <w:between w:val="nil"/>
        </w:pBdr>
        <w:ind w:firstLine="284"/>
        <w:jc w:val="both"/>
      </w:pPr>
      <w:r>
        <w:rPr>
          <w:color w:val="000000"/>
        </w:rPr>
        <w:t>18. </w:t>
      </w:r>
      <w:r>
        <w:t xml:space="preserve">Mahkeme’nin gereğince temellendirilmiş şikayetleri inceleme konusundaki isteksizliğinin ikinci kategorisi, 18. </w:t>
      </w:r>
      <w:proofErr w:type="gramStart"/>
      <w:r>
        <w:t>madde</w:t>
      </w:r>
      <w:proofErr w:type="gramEnd"/>
      <w:r>
        <w:t xml:space="preserve"> tarafından yasaklanan iddia edilen gizli siyasi saiklerle ilgili olmayan, tabiri caizse, daha sıradan olan</w:t>
      </w:r>
      <w:r>
        <w:t xml:space="preserve"> davaları içerir. Bunlar, “fiili” veya “hukuki örtüşmeleri” nedeniyle şikayetlerin incelenmemesini haklı gösteren durumlar değildir. Bunlar, yalnızca Mahkeme</w:t>
      </w:r>
      <w:r>
        <w:rPr>
          <w:i/>
        </w:rPr>
        <w:t xml:space="preserve"> böyle karar verdiği için</w:t>
      </w:r>
      <w:r>
        <w:t>, böyle bir tercih</w:t>
      </w:r>
      <w:r w:rsidR="00BD62EE">
        <w:t xml:space="preserve"> </w:t>
      </w:r>
      <w:r>
        <w:t>için herhangi bir neden sunmadan (en azından açıkça deği</w:t>
      </w:r>
      <w:r>
        <w:t xml:space="preserve">l) ve çoğu zaman bu tür meşru gerekçeler olmaksızın incelenmeden bırakılır. Mahkeme, bunu başvurucunun bazı şikayetlerini halihazırda incelemiş olması (ve kural </w:t>
      </w:r>
      <w:r>
        <w:lastRenderedPageBreak/>
        <w:t>olarak, bazı Sözleşme hükümlerinin ihlal edildiğini tespit etmesi), yani, açıkça söylemek gerek</w:t>
      </w:r>
      <w:r>
        <w:t>irse, bunun yeterli olması gerektiği şeklinde savunmaktadır.</w:t>
      </w:r>
    </w:p>
    <w:p w:rsidR="00380A26" w:rsidRDefault="0059142E">
      <w:pPr>
        <w:pBdr>
          <w:top w:val="nil"/>
          <w:left w:val="nil"/>
          <w:bottom w:val="nil"/>
          <w:right w:val="nil"/>
          <w:between w:val="nil"/>
        </w:pBdr>
        <w:ind w:firstLine="284"/>
        <w:jc w:val="both"/>
      </w:pPr>
      <w:r>
        <w:t>Bu gibi durumlarda, (kötü)</w:t>
      </w:r>
      <w:r w:rsidR="00BD62EE">
        <w:t xml:space="preserve"> </w:t>
      </w:r>
      <w:r>
        <w:t xml:space="preserve">şöhretli </w:t>
      </w:r>
      <w:r>
        <w:rPr>
          <w:i/>
        </w:rPr>
        <w:t>Câmpeanu</w:t>
      </w:r>
      <w:r>
        <w:t xml:space="preserve"> formülü kullanılır. </w:t>
      </w:r>
      <w:r>
        <w:rPr>
          <w:i/>
        </w:rPr>
        <w:t xml:space="preserve">Valentin Câmpeanu </w:t>
      </w:r>
      <w:proofErr w:type="gramStart"/>
      <w:r>
        <w:rPr>
          <w:i/>
        </w:rPr>
        <w:t>adına</w:t>
      </w:r>
      <w:proofErr w:type="gramEnd"/>
      <w:r>
        <w:rPr>
          <w:i/>
        </w:rPr>
        <w:t xml:space="preserve"> Hukuki Kaynaklar Merkezi </w:t>
      </w:r>
      <w:r>
        <w:t>davasına atıf yapıyorum ([BD], no. 47848/08, 17 Temmuz 2014). Bu karar, söz konusu</w:t>
      </w:r>
      <w:r w:rsidR="00BD62EE">
        <w:t xml:space="preserve"> formüle adını Verdi </w:t>
      </w:r>
      <w:bookmarkStart w:id="33" w:name="_GoBack"/>
      <w:bookmarkEnd w:id="33"/>
      <w:r>
        <w:t>çünkü bu yaklaşımın pekiştirildiği karar buydu. Formüle göre Mahkeme, başvurucular tarafından gündeme getirilen belirli “ana” hukuki soruları inceleyerek, “geri kalan” şikayetleri incelemeden bırakmıştır. Sanki bir diş hekimi hastasın</w:t>
      </w:r>
      <w:r>
        <w:t>a “Büyük delikleri düzelttim, o yüzden lütfen küçük deliklerle de bana fazla yüklenme, bir şekilde hayatta kalacaksın işte” der gibidir. “Ana” hukuki soruların incelenmesi, gerçekten incelenenlerle ilişkili olmasalar bile diğerlerinin incelenmemesini görün</w:t>
      </w:r>
      <w:r>
        <w:t>ürdehaklı kılmaktadır.</w:t>
      </w:r>
    </w:p>
    <w:p w:rsidR="00380A26" w:rsidRDefault="0059142E">
      <w:pPr>
        <w:pBdr>
          <w:top w:val="nil"/>
          <w:left w:val="nil"/>
          <w:bottom w:val="nil"/>
          <w:right w:val="nil"/>
          <w:between w:val="nil"/>
        </w:pBdr>
        <w:ind w:firstLine="284"/>
        <w:jc w:val="both"/>
      </w:pPr>
      <w:r>
        <w:rPr>
          <w:i/>
        </w:rPr>
        <w:t xml:space="preserve">Burmych ve diğerleri </w:t>
      </w:r>
      <w:r>
        <w:t xml:space="preserve">çözümü gibi, </w:t>
      </w:r>
      <w:r>
        <w:rPr>
          <w:i/>
        </w:rPr>
        <w:t xml:space="preserve">Câmpeanu </w:t>
      </w:r>
      <w:r>
        <w:t>formülü, Mahkemenin insan, zaman ve diğer kaynakları ile ilgili yargı politikası mülahazalarından tasarruf etmesi gerektiği durumlarda belirli bir pragmatizmden kaynaklanmaktadır. Buna rağme</w:t>
      </w:r>
      <w:r>
        <w:t xml:space="preserve">n, </w:t>
      </w:r>
      <w:r>
        <w:rPr>
          <w:i/>
        </w:rPr>
        <w:t>Burmych ve diğerleri</w:t>
      </w:r>
      <w:r>
        <w:t xml:space="preserve">, neredeyse hiç kimsenin gerçekten istisnai bir durum olduğunu inkar etmeyeceği bir durumda </w:t>
      </w:r>
      <w:proofErr w:type="gramStart"/>
      <w:r>
        <w:t>kabul</w:t>
      </w:r>
      <w:proofErr w:type="gramEnd"/>
      <w:r>
        <w:t xml:space="preserve"> edilmiştir. Bu kararda, Mahkeme’nin tutumu ayrıntılı olarak açıklanmıştır. Ne </w:t>
      </w:r>
      <w:r>
        <w:rPr>
          <w:i/>
        </w:rPr>
        <w:t>Valentin Câmpeanu adına Hukuki Kaynaklar Merkezi</w:t>
      </w:r>
      <w:r>
        <w:t>'nde ne d</w:t>
      </w:r>
      <w:r>
        <w:t xml:space="preserve">e </w:t>
      </w:r>
      <w:r>
        <w:rPr>
          <w:i/>
        </w:rPr>
        <w:t>Câmpeanu f</w:t>
      </w:r>
      <w:r>
        <w:t xml:space="preserve">ormülünün kullanıldığı, aslında kopyala yapıştır olan, diğer kararlarda böyle açık ve ayrıntılı bir açıklamanın en ufak bir izine rastlanır. Bu formül kendi kendini haklı çıkarmaya başlamıştır. </w:t>
      </w:r>
      <w:r>
        <w:rPr>
          <w:i/>
        </w:rPr>
        <w:t>Burmych ve diğerleri</w:t>
      </w:r>
      <w:r>
        <w:t xml:space="preserve"> davasındaki yedi muhalif, bu </w:t>
      </w:r>
      <w:r>
        <w:t xml:space="preserve">kararın “anlık adli kolaylık” (ortak muhalefet şerhinin 39. paragrafı) uğruna </w:t>
      </w:r>
      <w:proofErr w:type="gramStart"/>
      <w:r>
        <w:t>kabul</w:t>
      </w:r>
      <w:proofErr w:type="gramEnd"/>
      <w:r>
        <w:t xml:space="preserve"> edildiğini eleştirmiştir. Her ne </w:t>
      </w:r>
      <w:proofErr w:type="gramStart"/>
      <w:r>
        <w:t>kadar</w:t>
      </w:r>
      <w:proofErr w:type="gramEnd"/>
      <w:r>
        <w:t xml:space="preserve"> böyle bir nitelendirmede -küçük olmayan- bir gerçeklik payı olsa da, </w:t>
      </w:r>
      <w:r>
        <w:rPr>
          <w:i/>
        </w:rPr>
        <w:t>Burmych ve diğerler</w:t>
      </w:r>
      <w:r>
        <w:t>i ile ilgili eleştiriyi en azından sonuna kad</w:t>
      </w:r>
      <w:r>
        <w:t>ar takip etmekte isteksizim, çünkü bu meslektaşların iddialarının aksine, bu kararın aslında "yargı ekonomisi, yargı verimliliği veya Brighton felsefesi" ile bir ilgisi vardı. Ancak bu nitelendirmenin Campeanu tipi (olmayan) bulgulara uygulanması halinde g</w:t>
      </w:r>
      <w:r>
        <w:t>erçekten uygun olacağını düşünüyorum. Campeanu formülünün arkasında sadece "anlık adli kolaylık" dışında hiçbir şey yoktur. Belki de çok anlıktır.</w:t>
      </w:r>
    </w:p>
    <w:p w:rsidR="00380A26" w:rsidRDefault="0059142E">
      <w:pPr>
        <w:pBdr>
          <w:top w:val="nil"/>
          <w:left w:val="nil"/>
          <w:bottom w:val="nil"/>
          <w:right w:val="nil"/>
          <w:between w:val="nil"/>
        </w:pBdr>
        <w:ind w:firstLine="284"/>
        <w:jc w:val="both"/>
      </w:pPr>
      <w:r>
        <w:t xml:space="preserve">Neyse ki, </w:t>
      </w:r>
      <w:r>
        <w:rPr>
          <w:i/>
        </w:rPr>
        <w:t>Câmpeanu</w:t>
      </w:r>
      <w:r>
        <w:t xml:space="preserve"> formülü, Mahkeme’nin tüm yargıçları tarafından normal, haklı bir yargısal uygulaması olara</w:t>
      </w:r>
      <w:r>
        <w:t xml:space="preserve">k </w:t>
      </w:r>
      <w:proofErr w:type="gramStart"/>
      <w:r>
        <w:t>kabul</w:t>
      </w:r>
      <w:proofErr w:type="gramEnd"/>
      <w:r>
        <w:t xml:space="preserve"> edilmiyor. Bu konuda Yargıç Pastor </w:t>
      </w:r>
      <w:proofErr w:type="gramStart"/>
      <w:r>
        <w:t>Vilanova'nın</w:t>
      </w:r>
      <w:proofErr w:type="gramEnd"/>
      <w:r>
        <w:t xml:space="preserve"> </w:t>
      </w:r>
      <w:r>
        <w:rPr>
          <w:i/>
        </w:rPr>
        <w:t xml:space="preserve">Popov ve diğerleri v. Rusya </w:t>
      </w:r>
      <w:r>
        <w:t xml:space="preserve">(no. 44560/11, 27 Kasım 2018) davasındaki kısmi muhalif şerhine, Hakim Bošnjak'ın </w:t>
      </w:r>
      <w:r>
        <w:rPr>
          <w:i/>
        </w:rPr>
        <w:t xml:space="preserve">Petukhov v. Ukrayna (no. 2) </w:t>
      </w:r>
      <w:r>
        <w:t>(no. 41216/13, 12 Mart 2019) davasındaki kısmi muhalif şerhine</w:t>
      </w:r>
      <w:r>
        <w:t xml:space="preserve"> ve ikinci davadaki kendi kısmi muhalif şerhime atıf yapıyorum. Bu nedenle, bir gün </w:t>
      </w:r>
      <w:r>
        <w:rPr>
          <w:i/>
        </w:rPr>
        <w:t>Câmpeanu</w:t>
      </w:r>
      <w:r>
        <w:t xml:space="preserve"> formülünün terk edilebileceğine dair zayıf da olsa bir umut var. Ama bu sadece benim temennim olacaktır.</w:t>
      </w:r>
    </w:p>
    <w:p w:rsidR="00380A26" w:rsidRDefault="0059142E">
      <w:pPr>
        <w:pBdr>
          <w:top w:val="nil"/>
          <w:left w:val="nil"/>
          <w:bottom w:val="nil"/>
          <w:right w:val="nil"/>
          <w:between w:val="nil"/>
        </w:pBdr>
        <w:ind w:firstLine="284"/>
        <w:jc w:val="both"/>
      </w:pPr>
      <w:r>
        <w:rPr>
          <w:color w:val="000000"/>
        </w:rPr>
        <w:t>19.  </w:t>
      </w:r>
      <w:r>
        <w:t>Mahkeme’nin bazı kabul edilebilir “diğer” şikayetleri</w:t>
      </w:r>
      <w:r>
        <w:t xml:space="preserve"> incelememeye “gerek” olmadığı için karar verdiği davaları içeren üçüncü dava kategorisine, en azından bir şekilde okuyucuya kendi kendini kısıtlamasını açıklayacak </w:t>
      </w:r>
      <w:r>
        <w:lastRenderedPageBreak/>
        <w:t xml:space="preserve">herhangi bir açık, kısacık bile olsa, gerekçelendirme eşlik etmememektedir. </w:t>
      </w:r>
      <w:r>
        <w:rPr>
          <w:i/>
        </w:rPr>
        <w:t>Câmpeanu</w:t>
      </w:r>
      <w:r>
        <w:t xml:space="preserve"> tipi d</w:t>
      </w:r>
      <w:r>
        <w:t>avalarda olduğu gibi, “ana hukuki soru” argümanı bile sunulmamıştır. Bu durum, kendi başına, inceleme yapılmamasının gerekçelendirilmesinin mümkün olmayacağı anlamına gelmez. Buradaki problem şudur ki Mahkeme'nin bu şikayetleri incelememe kararının, haliha</w:t>
      </w:r>
      <w:r>
        <w:t>zırda incelenen şikayetlerle örtüşmeleri nedeniyle mi, yoksa Mahkeme'nin kararının (</w:t>
      </w:r>
      <w:r>
        <w:rPr>
          <w:i/>
        </w:rPr>
        <w:t>fiat</w:t>
      </w:r>
      <w:r>
        <w:t>) bir sonucu mu olduğu, okuyucuları kendileri öğrenmek durumundadır.</w:t>
      </w:r>
    </w:p>
    <w:p w:rsidR="00380A26" w:rsidRDefault="0059142E">
      <w:pPr>
        <w:spacing w:line="276" w:lineRule="auto"/>
        <w:ind w:firstLine="220"/>
        <w:jc w:val="both"/>
      </w:pPr>
      <w:r>
        <w:t>Bazen ilkidir, bazen diğeri.</w:t>
      </w:r>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ind w:left="397"/>
        <w:jc w:val="center"/>
        <w:rPr>
          <w:smallCaps/>
          <w:color w:val="000000"/>
        </w:rPr>
      </w:pPr>
      <w:r>
        <w:rPr>
          <w:smallCaps/>
          <w:color w:val="000000"/>
        </w:rPr>
        <w:t>III</w:t>
      </w:r>
    </w:p>
    <w:p w:rsidR="00380A26" w:rsidRDefault="0059142E">
      <w:pPr>
        <w:pBdr>
          <w:top w:val="nil"/>
          <w:left w:val="nil"/>
          <w:bottom w:val="nil"/>
          <w:right w:val="nil"/>
          <w:between w:val="nil"/>
        </w:pBdr>
        <w:ind w:firstLine="284"/>
        <w:jc w:val="both"/>
      </w:pPr>
      <w:r>
        <w:rPr>
          <w:color w:val="000000"/>
        </w:rPr>
        <w:t>20. </w:t>
      </w:r>
      <w:r>
        <w:t xml:space="preserve">Önceki çözümlerle kapsamlı bir şekilde karşılaştırıldığında, mevcut dava, yukarıda belirtilen </w:t>
      </w:r>
      <w:proofErr w:type="gramStart"/>
      <w:r>
        <w:t>kabul</w:t>
      </w:r>
      <w:proofErr w:type="gramEnd"/>
      <w:r>
        <w:t xml:space="preserve"> edilebilir şikayetlerin incelenmesinden feragat edilmesi türlerinin hiçbirine girmemektedir.</w:t>
      </w:r>
    </w:p>
    <w:p w:rsidR="00380A26" w:rsidRDefault="0059142E">
      <w:pPr>
        <w:pBdr>
          <w:top w:val="nil"/>
          <w:left w:val="nil"/>
          <w:bottom w:val="nil"/>
          <w:right w:val="nil"/>
          <w:between w:val="nil"/>
        </w:pBdr>
        <w:ind w:firstLine="284"/>
        <w:jc w:val="both"/>
      </w:pPr>
      <w:r>
        <w:t xml:space="preserve">Mevcut davayı, pilot kararların </w:t>
      </w:r>
      <w:proofErr w:type="gramStart"/>
      <w:r>
        <w:t>kabul</w:t>
      </w:r>
      <w:proofErr w:type="gramEnd"/>
      <w:r>
        <w:t xml:space="preserve"> edildiği veya çok istisna</w:t>
      </w:r>
      <w:r>
        <w:t xml:space="preserve">i </w:t>
      </w:r>
      <w:r>
        <w:rPr>
          <w:i/>
        </w:rPr>
        <w:t>Burmych ve diğerleri</w:t>
      </w:r>
      <w:r>
        <w:t xml:space="preserve"> davası gibi, daha önceki bir pilot kararla ilgili davalarla karşılaştırarak başlıyorum. Ardından, Mahkeme'nin kendi ifadesiyle “gerekli olmadığı” gerekçesiyle “diğer” şikayetlerin incelenmesinden feragat etmesi ile mevcut davanın kar</w:t>
      </w:r>
      <w:r>
        <w:t xml:space="preserve">şılaştırmasına döneceğim. 18. </w:t>
      </w:r>
      <w:proofErr w:type="gramStart"/>
      <w:r>
        <w:t>madde</w:t>
      </w:r>
      <w:proofErr w:type="gramEnd"/>
      <w:r>
        <w:t xml:space="preserve"> davalarını bir kenara bırakıyorum, çünkü daha önce de belirtildiği gibi, mevcut davadaki başvurucular bu madde kapsamında şikayette bulunmamışlardır. Bununla birlikte, diğer iki kategori, ikinci ve üçüncü kategori, en </w:t>
      </w:r>
      <w:proofErr w:type="gramStart"/>
      <w:r>
        <w:t>az</w:t>
      </w:r>
      <w:proofErr w:type="gramEnd"/>
      <w:r>
        <w:t xml:space="preserve"> bir veya iki cümleyi hak etmektedir. Bundan sonra, mevcut davanın, “hak edilmeyen” şikayetlerin daha önce incelenen şikayetlerle örtüşmesi nedeniyle “diğer” şikayetlerin incelenmesinden feragat edilen davalarla herhangi bir benzerliği olup olmadığına baka</w:t>
      </w:r>
      <w:r>
        <w:t>cağım.</w:t>
      </w:r>
    </w:p>
    <w:p w:rsidR="00380A26" w:rsidRDefault="0059142E">
      <w:pPr>
        <w:pBdr>
          <w:top w:val="nil"/>
          <w:left w:val="nil"/>
          <w:bottom w:val="nil"/>
          <w:right w:val="nil"/>
          <w:between w:val="nil"/>
        </w:pBdr>
        <w:ind w:firstLine="284"/>
        <w:jc w:val="both"/>
      </w:pPr>
      <w:r>
        <w:rPr>
          <w:color w:val="000000"/>
        </w:rPr>
        <w:t>21. </w:t>
      </w:r>
      <w:r>
        <w:t>İlk olarak, mevcut karar bir pilot karar değildir. Mahkeme tarafından belirlenen ve davalı Devletin ulusal düzeyde durumu düzelten herhangi bir genel önlem alması gereken herhangi bir sistemik (yapısal) sorundan bahsetmemektedir ve ilgili şikaye</w:t>
      </w:r>
      <w:r>
        <w:t xml:space="preserve">tlerin incelenmesi bu tedbirler alınana </w:t>
      </w:r>
      <w:proofErr w:type="gramStart"/>
      <w:r>
        <w:t>kadar</w:t>
      </w:r>
      <w:proofErr w:type="gramEnd"/>
      <w:r>
        <w:t xml:space="preserve"> ertelenmemiştir; Mahkeme sadece onları incelemeyi reddetmiştir.</w:t>
      </w:r>
    </w:p>
    <w:p w:rsidR="00380A26" w:rsidRDefault="0059142E">
      <w:pPr>
        <w:pBdr>
          <w:top w:val="nil"/>
          <w:left w:val="nil"/>
          <w:bottom w:val="nil"/>
          <w:right w:val="nil"/>
          <w:between w:val="nil"/>
        </w:pBdr>
        <w:ind w:firstLine="284"/>
        <w:jc w:val="both"/>
      </w:pPr>
      <w:r>
        <w:t>Ayrıca, mevcut davada incelenmemiş şikayetler, davalı Hükümete tebliğ edilmemiş şikayetlerden de değildir. Hepsi usulüne uygun olarak tebliğ edilm</w:t>
      </w:r>
      <w:r>
        <w:t>işti; bu nedenle, bu karar bir pilot karar olsa bile, Mahkeme bunları normal usulde incelemeye devam etmeliydi. Pilot karar prosedüründeki erteleme, tam olarak o davada sunulanlar için değil, “benzer” başvurulardan kaynaklanan şikayetler için geçerlidir.</w:t>
      </w:r>
    </w:p>
    <w:p w:rsidR="00380A26" w:rsidRDefault="0059142E">
      <w:pPr>
        <w:pBdr>
          <w:top w:val="nil"/>
          <w:left w:val="nil"/>
          <w:bottom w:val="nil"/>
          <w:right w:val="nil"/>
          <w:between w:val="nil"/>
        </w:pBdr>
        <w:ind w:firstLine="284"/>
        <w:jc w:val="both"/>
      </w:pPr>
      <w:bookmarkStart w:id="34" w:name="_heading=h.1egqt2p" w:colFirst="0" w:colLast="0"/>
      <w:bookmarkEnd w:id="34"/>
      <w:r>
        <w:rPr>
          <w:color w:val="000000"/>
        </w:rPr>
        <w:t>2</w:t>
      </w:r>
      <w:r>
        <w:rPr>
          <w:color w:val="000000"/>
        </w:rPr>
        <w:t>2. </w:t>
      </w:r>
      <w:r>
        <w:t xml:space="preserve">Mevcut kararın daha önceki bir pilot kararla da herhangi bir ilgisi yoktur. Mahkeme’nin, kararın 98. </w:t>
      </w:r>
      <w:proofErr w:type="gramStart"/>
      <w:r>
        <w:t>paragrafında</w:t>
      </w:r>
      <w:proofErr w:type="gramEnd"/>
      <w:r>
        <w:t xml:space="preserve"> belirtildiği gibi, yüzlerce haklı gerekçeli başvuruyu incelemeden bırakma kararının gerekçesi olarak </w:t>
      </w:r>
      <w:r>
        <w:rPr>
          <w:i/>
        </w:rPr>
        <w:t>Selahattin Demirtaş v. Türkiye</w:t>
      </w:r>
      <w:r>
        <w:t xml:space="preserve"> (no. 2)</w:t>
      </w:r>
      <w:r>
        <w:t xml:space="preserve"> ([BD], no. 14305/17, 22 Aralık) 2020), </w:t>
      </w:r>
      <w:r>
        <w:rPr>
          <w:i/>
        </w:rPr>
        <w:t>Alparslan Altan v. Türkiye</w:t>
      </w:r>
      <w:r>
        <w:t xml:space="preserve"> (no. 12778/17, 16 Nisan 2019) ve </w:t>
      </w:r>
      <w:r>
        <w:rPr>
          <w:i/>
        </w:rPr>
        <w:t>Baş v. Türkiye</w:t>
      </w:r>
      <w:r>
        <w:t xml:space="preserve"> (no. 66448/17, 3 Mart 2020) kararlarında bu incelenmeleyen hukuki sorunların “çoğunlukla ele alındığı”na işaret etmiştir. Bu doğrudur. Yine d</w:t>
      </w:r>
      <w:r>
        <w:t xml:space="preserve">e </w:t>
      </w:r>
      <w:r>
        <w:lastRenderedPageBreak/>
        <w:t xml:space="preserve">“çoğunlukla”, “hepsi” anlamına gelmemektedir. Ayrıca, “ele alınma”, sistemik (yapısal) bir sorunun tespit edilmesianlamına gelmez. Üstelik bu “hukuki sorunlar”, mevcut davadaki yüzlerce başvurucunun şikayetlerinin temelinde yer </w:t>
      </w:r>
      <w:proofErr w:type="gramStart"/>
      <w:r>
        <w:t>alan</w:t>
      </w:r>
      <w:proofErr w:type="gramEnd"/>
      <w:r>
        <w:t xml:space="preserve"> “olgusal sorunları” k</w:t>
      </w:r>
      <w:r>
        <w:t>apsamamaktadır. Bu başvurucular için, bazı “hukuki meselelerin” “ele alınabileceği” gerekçesiyle Mahkemeye başvurmamışlar – “olgusal meselelerin” yerel makamlara çözüme kavuşturulması için başvurmuşlardır.</w:t>
      </w:r>
    </w:p>
    <w:p w:rsidR="00380A26" w:rsidRDefault="0059142E">
      <w:pPr>
        <w:pBdr>
          <w:top w:val="nil"/>
          <w:left w:val="nil"/>
          <w:bottom w:val="nil"/>
          <w:right w:val="nil"/>
          <w:between w:val="nil"/>
        </w:pBdr>
        <w:ind w:firstLine="284"/>
        <w:jc w:val="both"/>
      </w:pPr>
      <w:r>
        <w:rPr>
          <w:color w:val="000000"/>
        </w:rPr>
        <w:t>23.  </w:t>
      </w:r>
      <w:r>
        <w:t xml:space="preserve">İkinci olarak, mevcut dava </w:t>
      </w:r>
      <w:r>
        <w:rPr>
          <w:i/>
        </w:rPr>
        <w:t>Burmych ve diğerleri</w:t>
      </w:r>
      <w:r>
        <w:t xml:space="preserve"> türünde bir dava değildir. Söz konusu dava, Mahkeme'nin yaklaşımının, mevcut davada incelenen veya daha doğrusu incelenmeyen duruma yaklaşımından birçok açıdan farklı olduğu bir durumla ilgilidir. </w:t>
      </w:r>
      <w:r>
        <w:rPr>
          <w:i/>
        </w:rPr>
        <w:t>Burmych ve diğerleri</w:t>
      </w:r>
      <w:r>
        <w:t>, davalı Devlete M</w:t>
      </w:r>
      <w:r>
        <w:t xml:space="preserve">ahkeme'nin daha önceki pilot kararını, Devletin yerine getirmekte başarısız olduğu, uygulaması talimatını vermiştir. Mevcut davada, bu türden bir şey yoktur (ve olamaz, çünkü konuyla ilgili daha önce verilen bir pilot karar yoktur). </w:t>
      </w:r>
      <w:r>
        <w:rPr>
          <w:i/>
        </w:rPr>
        <w:t xml:space="preserve">Burmych ve diğerleri </w:t>
      </w:r>
      <w:r>
        <w:t>da</w:t>
      </w:r>
      <w:r>
        <w:t xml:space="preserve">vasında Mahkeme, incelenmeyen başvuruları ve dolayısıyla Devletin ilerleyip ilerlemediğinin denetlenmesini Bakanlar Komitesi’ne iletmiştir. Söz konusu davada böyle bir şey yoktur (ve aynı nedenle olamaz). </w:t>
      </w:r>
      <w:r>
        <w:rPr>
          <w:i/>
        </w:rPr>
        <w:t>Burmych ve diğerleri</w:t>
      </w:r>
      <w:r>
        <w:t>'nde durumun yeniden değerlendi</w:t>
      </w:r>
      <w:r>
        <w:t>rilmesi olasılığı öne sürülmektedir. Mevcut kararda buna benzer bir ipucu yok.</w:t>
      </w:r>
    </w:p>
    <w:p w:rsidR="00380A26" w:rsidRDefault="0059142E">
      <w:pPr>
        <w:pBdr>
          <w:top w:val="nil"/>
          <w:left w:val="nil"/>
          <w:bottom w:val="nil"/>
          <w:right w:val="nil"/>
          <w:between w:val="nil"/>
        </w:pBdr>
        <w:ind w:firstLine="284"/>
        <w:jc w:val="both"/>
      </w:pPr>
      <w:r>
        <w:t xml:space="preserve">Dolayısıyla, mevcut dava ile </w:t>
      </w:r>
      <w:r>
        <w:rPr>
          <w:i/>
        </w:rPr>
        <w:t xml:space="preserve">Burmych ve diğerleri </w:t>
      </w:r>
      <w:r>
        <w:t xml:space="preserve">arasında temel bir fark vardır. </w:t>
      </w:r>
      <w:r>
        <w:rPr>
          <w:i/>
        </w:rPr>
        <w:t>Burmych ve diğerleri</w:t>
      </w:r>
      <w:r>
        <w:t xml:space="preserve"> mecazi olarak bir uzvun bu tür gerekli cerrahi amputasyonuna benzetilebili</w:t>
      </w:r>
      <w:r>
        <w:t xml:space="preserve">r, sadece kişinin hayatını kurtarmakla kalmayıp ek olarak, hastane yıkımdan korunmuş, kesilen uzuv, ne </w:t>
      </w:r>
      <w:proofErr w:type="gramStart"/>
      <w:r>
        <w:t>kadar</w:t>
      </w:r>
      <w:proofErr w:type="gramEnd"/>
      <w:r>
        <w:t xml:space="preserve"> kötü çalışırsa çalışsın bir tür protez ile değiştirilmiş ve kişiye bir gün cerrahın durumunu tekrar gözden geçirebileceğine söz verilmiştir. Mevcut</w:t>
      </w:r>
      <w:r>
        <w:t xml:space="preserve"> yargı daha çok uzuv kaybının yerine herhangi bir protez konulmadığı, cerrahın hastayı kendisine zarar verdiğini iddia ettiği biriyle gözetimsiz tedavi için eve gönderdiği, hastaneyi içeriden kapattığı ve ona </w:t>
      </w:r>
      <w:proofErr w:type="gramStart"/>
      <w:r>
        <w:t>veda</w:t>
      </w:r>
      <w:proofErr w:type="gramEnd"/>
      <w:r>
        <w:t xml:space="preserve"> ettiği bir ampütasyona benzemektedir.</w:t>
      </w:r>
    </w:p>
    <w:p w:rsidR="00380A26" w:rsidRDefault="0059142E">
      <w:pPr>
        <w:pBdr>
          <w:top w:val="nil"/>
          <w:left w:val="nil"/>
          <w:bottom w:val="nil"/>
          <w:right w:val="nil"/>
          <w:between w:val="nil"/>
        </w:pBdr>
        <w:ind w:firstLine="284"/>
        <w:jc w:val="both"/>
      </w:pPr>
      <w:r>
        <w:rPr>
          <w:color w:val="000000"/>
        </w:rPr>
        <w:t>24. </w:t>
      </w:r>
      <w:r>
        <w:rPr>
          <w:color w:val="000000"/>
        </w:rPr>
        <w:t> </w:t>
      </w:r>
      <w:r>
        <w:t xml:space="preserve">Ayrıca, yukarıda belirtildiği gibi, </w:t>
      </w:r>
      <w:r>
        <w:rPr>
          <w:i/>
        </w:rPr>
        <w:t>Burmych ve diğerleri</w:t>
      </w:r>
      <w:r>
        <w:t xml:space="preserve"> inceleme gerektirmeyen şikayetlerin hiçbirinden bahsetmemektedir. “İncelemeye gerek yok” formülü, mevcut kararın aksine, </w:t>
      </w:r>
      <w:r>
        <w:rPr>
          <w:i/>
        </w:rPr>
        <w:t>Burmych ve diğerleri</w:t>
      </w:r>
      <w:r>
        <w:t xml:space="preserve"> kararında kullanılmamaktadır.</w:t>
      </w:r>
    </w:p>
    <w:p w:rsidR="00380A26" w:rsidRDefault="0059142E">
      <w:pPr>
        <w:pBdr>
          <w:top w:val="nil"/>
          <w:left w:val="nil"/>
          <w:bottom w:val="nil"/>
          <w:right w:val="nil"/>
          <w:between w:val="nil"/>
        </w:pBdr>
        <w:ind w:firstLine="284"/>
        <w:jc w:val="both"/>
      </w:pPr>
      <w:r>
        <w:rPr>
          <w:color w:val="000000"/>
        </w:rPr>
        <w:t>25. </w:t>
      </w:r>
      <w:r>
        <w:t xml:space="preserve">Son olarak, </w:t>
      </w:r>
      <w:r>
        <w:rPr>
          <w:i/>
        </w:rPr>
        <w:t>Burmych ve</w:t>
      </w:r>
      <w:r>
        <w:rPr>
          <w:i/>
        </w:rPr>
        <w:t xml:space="preserve"> diğerleri</w:t>
      </w:r>
      <w:r>
        <w:t xml:space="preserve"> davasında başvurular Mahkemenin dava listesinden düşürülmüştür. Mevcut davada, başvurular dava listesinden düşürülmemiş - sadece incelenmeden bırakılmışlardır. Mevcut davada, Mahkeme'nin daha geniş misyonunun güvence altına alınabilmesi için, Ma</w:t>
      </w:r>
      <w:r>
        <w:t xml:space="preserve">hkeme'nin </w:t>
      </w:r>
      <w:proofErr w:type="gramStart"/>
      <w:r>
        <w:t>ideal(</w:t>
      </w:r>
      <w:proofErr w:type="gramEnd"/>
      <w:r>
        <w:t xml:space="preserve">ist) başvuru-değerlendirme standartlarından ayrılması için acil bir ihtiyacın söz konusu olduğu </w:t>
      </w:r>
      <w:r>
        <w:rPr>
          <w:i/>
        </w:rPr>
        <w:t>Burmych ve diğerleri</w:t>
      </w:r>
      <w:r>
        <w:t>'nde olduğu gibi, çoğunluğa karşı çıkmama izin verecek gerçekçi karşı argümanlar bulamadığım doğrudur.</w:t>
      </w:r>
    </w:p>
    <w:p w:rsidR="00380A26" w:rsidRDefault="0059142E">
      <w:pPr>
        <w:pBdr>
          <w:top w:val="nil"/>
          <w:left w:val="nil"/>
          <w:bottom w:val="nil"/>
          <w:right w:val="nil"/>
          <w:between w:val="nil"/>
        </w:pBdr>
        <w:ind w:firstLine="284"/>
        <w:jc w:val="both"/>
      </w:pPr>
      <w:r>
        <w:rPr>
          <w:color w:val="000000"/>
        </w:rPr>
        <w:t>26. </w:t>
      </w:r>
      <w:r>
        <w:t xml:space="preserve">Bu nedenle, 98. </w:t>
      </w:r>
      <w:proofErr w:type="gramStart"/>
      <w:r>
        <w:t>p</w:t>
      </w:r>
      <w:r>
        <w:t>aragrafta</w:t>
      </w:r>
      <w:proofErr w:type="gramEnd"/>
      <w:r>
        <w:t xml:space="preserve"> </w:t>
      </w:r>
      <w:r>
        <w:rPr>
          <w:i/>
        </w:rPr>
        <w:t>Burmych ve diğerleri</w:t>
      </w:r>
      <w:r>
        <w:t xml:space="preserve">'ne yapılan atıfın, çok yalın ve dolayısıyla niteliksiz olmasına rağmen, özellikle mevcut duruma </w:t>
      </w:r>
      <w:r>
        <w:lastRenderedPageBreak/>
        <w:t>uygun olduğunu düşünmüyorum. Bu kararakesinlikle atıfta bulunulabilir -ama belki daha fazla şartla, yani, yalnızca durumlar arası</w:t>
      </w:r>
      <w:r>
        <w:t>ndaki benzerlikler (“sürekli artan başvuru akışı”) değil, Mahkeme'nin bu durumlara yaklaşımındaki farklılık da dikkate alınarak atıfta bulunulabilir. Mevcut haliyle bu referans, muhakemeyi güçlendirmez - onu zayıflatır. Çünkü 2017 davasında kullanılan güve</w:t>
      </w:r>
      <w:r>
        <w:t>ncelerin hiçbiri mevcut karara aktarılmamıştır. "</w:t>
      </w:r>
      <w:proofErr w:type="gramStart"/>
      <w:r>
        <w:rPr>
          <w:i/>
        </w:rPr>
        <w:t>kıyasen</w:t>
      </w:r>
      <w:proofErr w:type="gramEnd"/>
      <w:r>
        <w:t xml:space="preserve">" şerhi yardımcı olmamaktadır. Bu kararın </w:t>
      </w:r>
      <w:r>
        <w:rPr>
          <w:i/>
        </w:rPr>
        <w:t xml:space="preserve">Burmych ve diğerleri </w:t>
      </w:r>
      <w:r>
        <w:t>ile tek benzerliğinin, Mahkeme’nin, Sözleşme mekanizmasının uzun vadeli etkinliği sağlanacaksa, başka bir seçeneğin bırakılmadığı gerçeği</w:t>
      </w:r>
      <w:r>
        <w:t xml:space="preserve">nin baskısı altında da </w:t>
      </w:r>
      <w:proofErr w:type="gramStart"/>
      <w:r>
        <w:t>kabul</w:t>
      </w:r>
      <w:proofErr w:type="gramEnd"/>
      <w:r>
        <w:t xml:space="preserve"> etmiş olması olduğu durumunu gizlemektedir.</w:t>
      </w:r>
    </w:p>
    <w:p w:rsidR="00380A26" w:rsidRDefault="0059142E">
      <w:pPr>
        <w:pBdr>
          <w:top w:val="nil"/>
          <w:left w:val="nil"/>
          <w:bottom w:val="nil"/>
          <w:right w:val="nil"/>
          <w:between w:val="nil"/>
        </w:pBdr>
        <w:ind w:firstLine="284"/>
        <w:jc w:val="both"/>
      </w:pPr>
      <w:r>
        <w:rPr>
          <w:color w:val="000000"/>
        </w:rPr>
        <w:t>27.  </w:t>
      </w:r>
      <w:r>
        <w:t xml:space="preserve">Öte yandan, </w:t>
      </w:r>
      <w:r>
        <w:rPr>
          <w:i/>
        </w:rPr>
        <w:t>Burmych ve diğerleri</w:t>
      </w:r>
      <w:r>
        <w:t xml:space="preserve"> ile karşılaştırıldığında mevcut karar, başvurucuların en </w:t>
      </w:r>
      <w:proofErr w:type="gramStart"/>
      <w:r>
        <w:t>az</w:t>
      </w:r>
      <w:proofErr w:type="gramEnd"/>
      <w:r>
        <w:t xml:space="preserve"> bir cephede kazanmış olması bakımından daha fazla başvurucu dostudur: tutuklulukların</w:t>
      </w:r>
      <w:r>
        <w:t xml:space="preserve">ın hukuka aykırılığı nedeniyle 5.maddenin 1.fıkrasının ihlal edildiği tespit edilmiştir. Yeterli değildir, ancak </w:t>
      </w:r>
      <w:r>
        <w:rPr>
          <w:i/>
        </w:rPr>
        <w:t>Burmych ve diğerleri</w:t>
      </w:r>
      <w:r>
        <w:t xml:space="preserve">'ndeki </w:t>
      </w:r>
      <w:proofErr w:type="gramStart"/>
      <w:r>
        <w:t>beş</w:t>
      </w:r>
      <w:proofErr w:type="gramEnd"/>
      <w:r>
        <w:t xml:space="preserve"> başvurucu bunu bile almamıştır.</w:t>
      </w:r>
    </w:p>
    <w:p w:rsidR="00380A26" w:rsidRDefault="0059142E">
      <w:pPr>
        <w:pBdr>
          <w:top w:val="nil"/>
          <w:left w:val="nil"/>
          <w:bottom w:val="nil"/>
          <w:right w:val="nil"/>
          <w:between w:val="nil"/>
        </w:pBdr>
        <w:ind w:firstLine="284"/>
        <w:jc w:val="both"/>
      </w:pPr>
      <w:r>
        <w:rPr>
          <w:color w:val="000000"/>
        </w:rPr>
        <w:t>28.  </w:t>
      </w:r>
      <w:r>
        <w:t>Şimdi Mahkeme’nin “diğer” şikayetlerin incelenmeyişini</w:t>
      </w:r>
      <w:r>
        <w:t xml:space="preserve"> “incelemeye gerek yok” (veya “inceleme zaruri değil”) formülüne başvurarak gerekçelendirdiği davalara dönüyorum.</w:t>
      </w:r>
    </w:p>
    <w:p w:rsidR="00380A26" w:rsidRDefault="0059142E">
      <w:pPr>
        <w:pBdr>
          <w:top w:val="nil"/>
          <w:left w:val="nil"/>
          <w:bottom w:val="nil"/>
          <w:right w:val="nil"/>
          <w:between w:val="nil"/>
        </w:pBdr>
        <w:ind w:firstLine="284"/>
        <w:jc w:val="both"/>
      </w:pPr>
      <w:r>
        <w:rPr>
          <w:color w:val="000000"/>
        </w:rPr>
        <w:t>29.  </w:t>
      </w:r>
      <w:r>
        <w:t>“İncelemeye gerek yok” formülünün yukarıda belirtilen ikinci kategoriye giren davalara ilişkin olarak, mevcut dava temelde farklıdır, çün</w:t>
      </w:r>
      <w:r>
        <w:t xml:space="preserve">kü bu kararda </w:t>
      </w:r>
      <w:r>
        <w:rPr>
          <w:i/>
        </w:rPr>
        <w:t xml:space="preserve">Câmpeanu </w:t>
      </w:r>
      <w:r>
        <w:t>formülü kullanılmamıştır. Aslında, bu kararda “temel” hukukikonuların incelendiğini veya incelenmeyenlerin herhangi bir anlamda “ikincil” olarak adlandırılabileceğini pek kimse söylemez.</w:t>
      </w:r>
    </w:p>
    <w:p w:rsidR="00380A26" w:rsidRDefault="0059142E">
      <w:pPr>
        <w:pBdr>
          <w:top w:val="nil"/>
          <w:left w:val="nil"/>
          <w:bottom w:val="nil"/>
          <w:right w:val="nil"/>
          <w:between w:val="nil"/>
        </w:pBdr>
        <w:ind w:firstLine="284"/>
        <w:jc w:val="both"/>
      </w:pPr>
      <w:r>
        <w:rPr>
          <w:color w:val="000000"/>
        </w:rPr>
        <w:t>30. </w:t>
      </w:r>
      <w:r>
        <w:t>Yukarıda belirtilen üçüncü dava kategorisi</w:t>
      </w:r>
      <w:r>
        <w:t xml:space="preserve">ne ilişkin olarak, bu kararla aralarındaki fark da önemlidir, çünkü bu kararda “diğer” şikayetlerin neden incelenmediğine dair bir açıklama sunulmaktadır. Bu açıklamanın başvurucular ve daha geniş okuyucu kitlesi tarafından tatmin edici olarak </w:t>
      </w:r>
      <w:proofErr w:type="gramStart"/>
      <w:r>
        <w:t>kabul</w:t>
      </w:r>
      <w:proofErr w:type="gramEnd"/>
      <w:r>
        <w:t xml:space="preserve"> edilip</w:t>
      </w:r>
      <w:r>
        <w:t xml:space="preserve"> edilmeyeceği ayrı bir konudur.</w:t>
      </w:r>
    </w:p>
    <w:p w:rsidR="00380A26" w:rsidRDefault="0059142E">
      <w:pPr>
        <w:pBdr>
          <w:top w:val="nil"/>
          <w:left w:val="nil"/>
          <w:bottom w:val="nil"/>
          <w:right w:val="nil"/>
          <w:between w:val="nil"/>
        </w:pBdr>
        <w:ind w:firstLine="284"/>
        <w:jc w:val="both"/>
      </w:pPr>
      <w:r>
        <w:rPr>
          <w:color w:val="000000"/>
        </w:rPr>
        <w:t>31. </w:t>
      </w:r>
      <w:r>
        <w:t xml:space="preserve">İncelenmemiş şikayetlerin gerçekten incelenen şikayetlerle örtüşüp örtüşmediği hususu değerlendirilmiş olmayı beklemeye devam edecektir. </w:t>
      </w:r>
    </w:p>
    <w:p w:rsidR="00380A26" w:rsidRDefault="0059142E">
      <w:pPr>
        <w:pBdr>
          <w:top w:val="nil"/>
          <w:left w:val="nil"/>
          <w:bottom w:val="nil"/>
          <w:right w:val="nil"/>
          <w:between w:val="nil"/>
        </w:pBdr>
        <w:ind w:firstLine="284"/>
        <w:jc w:val="both"/>
      </w:pPr>
      <w:r>
        <w:t>Ancak bu noktaya değinme gereğinden kurtulduğum için mutluyum, çünkü bu, Yargıç Ko</w:t>
      </w:r>
      <w:r>
        <w:t xml:space="preserve">skelo tarafından Yargıç Ranzoni'nin de katıldığı mutabık görüşünde yapılmıştır. Orada, şikayetlerin örtüşmediği ikna edici bir şekilde gösterilmiştir. Gerçekten de, başvurucuların tutukluluğuna ilişkin iç hukukta bir dayanak bulunmaması nedeniyle 5. </w:t>
      </w:r>
      <w:proofErr w:type="gramStart"/>
      <w:r>
        <w:t>madden</w:t>
      </w:r>
      <w:r>
        <w:t>in</w:t>
      </w:r>
      <w:proofErr w:type="gramEnd"/>
      <w:r>
        <w:t xml:space="preserve"> ihlal edildiğine ilişkin bulgu, aynı zamanda 5. </w:t>
      </w:r>
      <w:proofErr w:type="gramStart"/>
      <w:r>
        <w:t>maddesinin</w:t>
      </w:r>
      <w:proofErr w:type="gramEnd"/>
      <w:r>
        <w:t xml:space="preserve"> 1. </w:t>
      </w:r>
      <w:proofErr w:type="gramStart"/>
      <w:r>
        <w:t>fıkrasının</w:t>
      </w:r>
      <w:proofErr w:type="gramEnd"/>
      <w:r>
        <w:t xml:space="preserve"> c bendinin de kendi başına ihlal edildiği veya herhangi bir ihlal bulunmadığı anlamına gelmez. </w:t>
      </w:r>
    </w:p>
    <w:p w:rsidR="00380A26" w:rsidRDefault="0059142E">
      <w:pPr>
        <w:pBdr>
          <w:top w:val="nil"/>
          <w:left w:val="nil"/>
          <w:bottom w:val="nil"/>
          <w:right w:val="nil"/>
          <w:between w:val="nil"/>
        </w:pBdr>
        <w:ind w:firstLine="284"/>
        <w:jc w:val="both"/>
      </w:pPr>
      <w:r>
        <w:t xml:space="preserve">Bu soruyu cevaplamak için başvurucuların durumunun 5. </w:t>
      </w:r>
      <w:proofErr w:type="gramStart"/>
      <w:r>
        <w:t>maddenin</w:t>
      </w:r>
      <w:proofErr w:type="gramEnd"/>
      <w:r>
        <w:t xml:space="preserve"> 1. </w:t>
      </w:r>
      <w:proofErr w:type="gramStart"/>
      <w:r>
        <w:t>fıkrasının</w:t>
      </w:r>
      <w:proofErr w:type="gramEnd"/>
      <w:r>
        <w:t xml:space="preserve"> c bendi</w:t>
      </w:r>
      <w:r>
        <w:t xml:space="preserve"> açısından incelenmesi gerekecektir.</w:t>
      </w:r>
    </w:p>
    <w:p w:rsidR="00380A26" w:rsidRDefault="00380A26">
      <w:pPr>
        <w:pBdr>
          <w:top w:val="nil"/>
          <w:left w:val="nil"/>
          <w:bottom w:val="nil"/>
          <w:right w:val="nil"/>
          <w:between w:val="nil"/>
        </w:pBdr>
        <w:ind w:firstLine="284"/>
        <w:jc w:val="both"/>
      </w:pPr>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jc w:val="center"/>
        <w:rPr>
          <w:smallCaps/>
          <w:color w:val="000000"/>
        </w:rPr>
      </w:pPr>
      <w:r>
        <w:rPr>
          <w:smallCaps/>
          <w:color w:val="000000"/>
        </w:rPr>
        <w:lastRenderedPageBreak/>
        <w:t>IV</w:t>
      </w:r>
    </w:p>
    <w:p w:rsidR="00380A26" w:rsidRDefault="0059142E">
      <w:pPr>
        <w:pBdr>
          <w:top w:val="nil"/>
          <w:left w:val="nil"/>
          <w:bottom w:val="nil"/>
          <w:right w:val="nil"/>
          <w:between w:val="nil"/>
        </w:pBdr>
        <w:ind w:firstLine="284"/>
        <w:jc w:val="both"/>
      </w:pPr>
      <w:r>
        <w:rPr>
          <w:color w:val="000000"/>
        </w:rPr>
        <w:t>32. </w:t>
      </w:r>
      <w:r>
        <w:t xml:space="preserve">Özetlemek gerekirse, mevcut davada inceleme yapılmadan bırakılan şikâyetlerinher ne </w:t>
      </w:r>
      <w:proofErr w:type="gramStart"/>
      <w:r>
        <w:t>kadar</w:t>
      </w:r>
      <w:proofErr w:type="gramEnd"/>
      <w:r>
        <w:t xml:space="preserve"> hüküm kısmında Mahkeme böyle bir ihtiyacın olmadığını belirtmiş olsa da incelenmesine ihtiyaç olduğu açıktır.</w:t>
      </w:r>
    </w:p>
    <w:p w:rsidR="00380A26" w:rsidRDefault="0059142E">
      <w:pPr>
        <w:spacing w:line="276" w:lineRule="auto"/>
        <w:ind w:firstLine="220"/>
        <w:jc w:val="both"/>
      </w:pPr>
      <w:r>
        <w:t xml:space="preserve">Bu nedenle, hüküm kısmının 5. </w:t>
      </w:r>
      <w:proofErr w:type="gramStart"/>
      <w:r>
        <w:t>kalemini</w:t>
      </w:r>
      <w:proofErr w:type="gramEnd"/>
      <w:r>
        <w:t xml:space="preserve"> yanıltıcı olarak görüyorum.</w:t>
      </w:r>
    </w:p>
    <w:p w:rsidR="00380A26" w:rsidRDefault="0059142E">
      <w:pPr>
        <w:pBdr>
          <w:top w:val="nil"/>
          <w:left w:val="nil"/>
          <w:bottom w:val="nil"/>
          <w:right w:val="nil"/>
          <w:between w:val="nil"/>
        </w:pBdr>
        <w:ind w:firstLine="284"/>
        <w:jc w:val="both"/>
      </w:pPr>
      <w:r>
        <w:rPr>
          <w:color w:val="000000"/>
        </w:rPr>
        <w:t>33. </w:t>
      </w:r>
      <w:r>
        <w:t xml:space="preserve">Dahası, değerli meslektaşımın mutabık şerhinden de anlaşılacağı üzere, söz konusu ihtiyaç, özellikle şu gerçeği göz önünde bulundurarak, acil bir ihtiyaçtır: </w:t>
      </w:r>
      <w:r>
        <w:rPr>
          <w:i/>
        </w:rPr>
        <w:t>Alparslan Altan v. Türkiye</w:t>
      </w:r>
      <w:r>
        <w:t xml:space="preserve"> </w:t>
      </w:r>
      <w:r>
        <w:t xml:space="preserve">ve </w:t>
      </w:r>
      <w:r>
        <w:rPr>
          <w:i/>
        </w:rPr>
        <w:t>Baş v. Türkiye</w:t>
      </w:r>
      <w:r>
        <w:t xml:space="preserve"> (her ikisi de yukarıda anılan) gibi davalar ve bunlardan kaynaklanan koşullar ışığında mevcut davada 5. </w:t>
      </w:r>
      <w:proofErr w:type="gramStart"/>
      <w:r>
        <w:t>maddenin</w:t>
      </w:r>
      <w:proofErr w:type="gramEnd"/>
      <w:r>
        <w:t xml:space="preserve"> 1. </w:t>
      </w:r>
      <w:proofErr w:type="gramStart"/>
      <w:r>
        <w:t>fıkrasının</w:t>
      </w:r>
      <w:proofErr w:type="gramEnd"/>
      <w:r>
        <w:t xml:space="preserve"> c bendi kapsamında sunulan şikayetlerin sadece birkaçından fazlasının çok sağlam temellere sahip olabileceği va</w:t>
      </w:r>
      <w:r>
        <w:t xml:space="preserve">rsayılabilir. Yalnızca, ihtimaller dengesi prensibine göre başvurucuların en azından bazılarının tutuklanması için yeterli olgusal temelin bulunmadığı varsayımının, özellikle gerekli </w:t>
      </w:r>
      <w:r>
        <w:rPr>
          <w:i/>
        </w:rPr>
        <w:t xml:space="preserve">yasal </w:t>
      </w:r>
      <w:r>
        <w:t xml:space="preserve">dayanak olmaksızın bu </w:t>
      </w:r>
      <w:proofErr w:type="gramStart"/>
      <w:r>
        <w:t>kadar</w:t>
      </w:r>
      <w:proofErr w:type="gramEnd"/>
      <w:r>
        <w:t xml:space="preserve"> kitlesel şekilde tutuklanan başvurucula</w:t>
      </w:r>
      <w:r>
        <w:t>rın hakim ve savcılar olduğu gerçeği göz önüne alındığında, hiç de boş olmadığını eklemek isterim.</w:t>
      </w:r>
    </w:p>
    <w:p w:rsidR="00380A26" w:rsidRDefault="0059142E">
      <w:pPr>
        <w:pBdr>
          <w:top w:val="nil"/>
          <w:left w:val="nil"/>
          <w:bottom w:val="nil"/>
          <w:right w:val="nil"/>
          <w:between w:val="nil"/>
        </w:pBdr>
        <w:ind w:firstLine="284"/>
        <w:jc w:val="both"/>
      </w:pPr>
      <w:r>
        <w:rPr>
          <w:color w:val="000000"/>
        </w:rPr>
        <w:t>34.  </w:t>
      </w:r>
      <w:r>
        <w:t xml:space="preserve">Şikayetlerin aslan payını incelememe kararı, yoğun başvuru akışı karşısında Mahkemenin kapasitesinin sınırlarının </w:t>
      </w:r>
      <w:proofErr w:type="gramStart"/>
      <w:r>
        <w:t>kabul</w:t>
      </w:r>
      <w:proofErr w:type="gramEnd"/>
      <w:r>
        <w:t xml:space="preserve"> edilmesidir. </w:t>
      </w:r>
      <w:proofErr w:type="gramStart"/>
      <w:r>
        <w:t>“Yargısal politika”</w:t>
      </w:r>
      <w:r>
        <w:t>ya yapılan atıf (paragraf 98) şu anlama gelmektedir: şikayetlerin incelenmemesi, Sözleşme'nin herhangi bir maddesinin herhangi bir ilkesi tarafından değil, Mahkeme, en azından aynı Devlete karşı olan bu şikayetlerin incelenmesini en az on yıl (ama muhtemel</w:t>
      </w:r>
      <w:r>
        <w:t>en daha uzun bir süre için) veya (cazip olmayan başka bir alternatif) diğer önemli şikayetlerin incelenmesini erteleme gibi şüpheli bir lükse izin vermedikçe olağan yasal kurumsal ve usule ilişkin mekanizmaların çaresiz kaldığı böyle bir gerçeklik tarafınd</w:t>
      </w:r>
      <w:r>
        <w:t>an belirlenecektir.</w:t>
      </w:r>
      <w:proofErr w:type="gramEnd"/>
    </w:p>
    <w:p w:rsidR="00380A26" w:rsidRDefault="0059142E">
      <w:pPr>
        <w:pBdr>
          <w:top w:val="nil"/>
          <w:left w:val="nil"/>
          <w:bottom w:val="nil"/>
          <w:right w:val="nil"/>
          <w:between w:val="nil"/>
        </w:pBdr>
        <w:ind w:firstLine="284"/>
        <w:jc w:val="both"/>
      </w:pPr>
      <w:r>
        <w:t xml:space="preserve">Bu bağlamda, bugün Türkiye aleyhine, 2016 darbe girişimi sonrasında verilen tutuklamalar ve mahkumiyetlerle ilgili derdest binlerce dava olduğunu belirtmek gerekir. Her </w:t>
      </w:r>
      <w:proofErr w:type="gramStart"/>
      <w:r>
        <w:t>hafta</w:t>
      </w:r>
      <w:proofErr w:type="gramEnd"/>
      <w:r>
        <w:t xml:space="preserve"> sayıları sürüler halinde artmaktadır. Mahkeme aslında bu olay</w:t>
      </w:r>
      <w:r>
        <w:t>larla ilgili davalarla dolup taşmaktadır. Bu tsunamiye ek olarak, Türkiye'ye aleyhine açılmış konudan bağımsız davalardan oluşan daha büyük başka bir havuz da var.</w:t>
      </w:r>
    </w:p>
    <w:p w:rsidR="00380A26" w:rsidRDefault="0059142E">
      <w:pPr>
        <w:pBdr>
          <w:top w:val="nil"/>
          <w:left w:val="nil"/>
          <w:bottom w:val="nil"/>
          <w:right w:val="nil"/>
          <w:between w:val="nil"/>
        </w:pBdr>
        <w:ind w:firstLine="284"/>
        <w:jc w:val="both"/>
      </w:pPr>
      <w:r>
        <w:rPr>
          <w:color w:val="000000"/>
        </w:rPr>
        <w:t>35. </w:t>
      </w:r>
      <w:r>
        <w:t>Bu gibi durumlarda, en çok zaman, çaba ve diğer kaynakları tüketen şikayetleri incelemem</w:t>
      </w:r>
      <w:r>
        <w:t xml:space="preserve">e kararı, tek </w:t>
      </w:r>
      <w:r>
        <w:rPr>
          <w:i/>
        </w:rPr>
        <w:t>pragmatik</w:t>
      </w:r>
      <w:r>
        <w:t xml:space="preserve"> çıkış yoludur. Tamamen yasal (kanunlara harfiyen uyan) bakış açısından ise tatmin edici ve kolayca savunulabilir değildir. Ancak </w:t>
      </w:r>
      <w:r>
        <w:rPr>
          <w:i/>
        </w:rPr>
        <w:t>gerçekliğe</w:t>
      </w:r>
      <w:r>
        <w:t xml:space="preserve"> atıfla açıklanabilir. Bu </w:t>
      </w:r>
      <w:r>
        <w:rPr>
          <w:i/>
        </w:rPr>
        <w:t>karar</w:t>
      </w:r>
      <w:r>
        <w:t xml:space="preserve"> bir yargı kararı değildir. Bu açıklama burada, paragraf 98'de</w:t>
      </w:r>
      <w:r>
        <w:t xml:space="preserve"> verilmektedir. Bu paragrafın sonunda, Mahkeme'nin </w:t>
      </w:r>
      <w:r>
        <w:rPr>
          <w:i/>
        </w:rPr>
        <w:t xml:space="preserve">“başvurucuların 5. </w:t>
      </w:r>
      <w:proofErr w:type="gramStart"/>
      <w:r>
        <w:rPr>
          <w:i/>
        </w:rPr>
        <w:t>madde</w:t>
      </w:r>
      <w:proofErr w:type="gramEnd"/>
      <w:r>
        <w:rPr>
          <w:i/>
        </w:rPr>
        <w:t xml:space="preserve"> kapsamında kalan şikayetlerini incelememeye karar verdiği”</w:t>
      </w:r>
      <w:r>
        <w:t xml:space="preserve"> (vurgu eklenmiştir) ve bu kararın davanın “istisnai bağlamı” içinde alındığı açık bir şekilde belirtilmektedir. İncelemey</w:t>
      </w:r>
      <w:r>
        <w:t xml:space="preserve">i hak etmeyen “kalan" ("incelemeye gerek olmayan") şikayetler hakkında en ufak bir ipucu yoktur –yalnızca </w:t>
      </w:r>
      <w:r>
        <w:lastRenderedPageBreak/>
        <w:t xml:space="preserve">Mahkeme’nin uzun süredir devam </w:t>
      </w:r>
      <w:proofErr w:type="gramStart"/>
      <w:r>
        <w:t>eden</w:t>
      </w:r>
      <w:proofErr w:type="gramEnd"/>
      <w:r>
        <w:t xml:space="preserve"> genel misyonunu sağlama ihtiyacı karşısında bu tür bir incelemenin pratik olmadığının ve uygunsuz olduğunun gönüls</w:t>
      </w:r>
      <w:r>
        <w:t>üzce kabul edilmesi söz konusudur. Bu bir amaca uygunluk gerekçesidir –tamamen yasal anlamda tam teşekküllü bir gerekçe değil, belki ahlaki anlamda da değil, ama yine de tüm alternatiflerin daha kötü olduğu uygunsuz, müdahaleci seçimin bir gerekçesidir. Ve</w:t>
      </w:r>
      <w:r>
        <w:t xml:space="preserve"> gösterildiği gibi, </w:t>
      </w:r>
      <w:r>
        <w:rPr>
          <w:i/>
        </w:rPr>
        <w:t xml:space="preserve">Burmych ve diğerleri </w:t>
      </w:r>
      <w:r>
        <w:t>yargı politikası mülahazaları, ilke olarak, Mahkeme'nin bazı şikayetleri bazı olağanüstü durumlarda incelemeden bırakma kararı için bir miktar doğrulama ve bu anlamda bir miktar gerekçe sağlayabilir. Bu karar, norma</w:t>
      </w:r>
      <w:r>
        <w:t>l koşullarda uygulanamayan, ancak Mahkeme'nin içtihadına zaten yerleşmiş olan bu metodolojik ilkenin uygulamasıdır.</w:t>
      </w:r>
    </w:p>
    <w:p w:rsidR="00380A26" w:rsidRDefault="0059142E">
      <w:pPr>
        <w:pBdr>
          <w:top w:val="nil"/>
          <w:left w:val="nil"/>
          <w:bottom w:val="nil"/>
          <w:right w:val="nil"/>
          <w:between w:val="nil"/>
        </w:pBdr>
        <w:ind w:firstLine="284"/>
        <w:jc w:val="both"/>
      </w:pPr>
      <w:r>
        <w:rPr>
          <w:color w:val="000000"/>
        </w:rPr>
        <w:t>36. </w:t>
      </w:r>
      <w:r>
        <w:t xml:space="preserve">Paragraf 98'deki açıklama ne olursa olsun, hüküm kısmının 5. </w:t>
      </w:r>
      <w:proofErr w:type="gramStart"/>
      <w:r>
        <w:t>kaleminde</w:t>
      </w:r>
      <w:proofErr w:type="gramEnd"/>
      <w:r>
        <w:t xml:space="preserve"> kullanılan “incelemeye gerek yok” deyimi onu esas itibariyle boşa</w:t>
      </w:r>
      <w:r>
        <w:t xml:space="preserve"> çıkarmaktadır. Hüküm kısmının bulguları, onlara yol açan muhakeme ile birlikte okunmalıdır. Ancak bu özel bulgu, ne yazılı ne de ruhen, paragraf 98'de verilen açıklamaya karşılık gelmemektedir. Bu nedenle “kalan” şikayetlerin incelenmemesi sonucuna katılm</w:t>
      </w:r>
      <w:r>
        <w:t>ama rağmen oy vermedim.</w:t>
      </w:r>
    </w:p>
    <w:p w:rsidR="00380A26" w:rsidRDefault="0059142E">
      <w:pPr>
        <w:pBdr>
          <w:top w:val="nil"/>
          <w:left w:val="nil"/>
          <w:bottom w:val="nil"/>
          <w:right w:val="nil"/>
          <w:between w:val="nil"/>
        </w:pBdr>
        <w:ind w:firstLine="284"/>
        <w:jc w:val="both"/>
      </w:pPr>
      <w:r>
        <w:rPr>
          <w:color w:val="000000"/>
        </w:rPr>
        <w:t>37.  </w:t>
      </w:r>
      <w:r>
        <w:t xml:space="preserve">Olan şudur ki; Daire (gösterildiği gibi, zaten birçok durumda çok gelişigüzel bir şekilde kullanılan) standart formülü almıştır ve bunu en standart dışı - daha önce hiç rastlanmamış - bir durumda uygulamıştır. </w:t>
      </w:r>
    </w:p>
    <w:p w:rsidR="00380A26" w:rsidRDefault="0059142E">
      <w:pPr>
        <w:pBdr>
          <w:top w:val="nil"/>
          <w:left w:val="nil"/>
          <w:bottom w:val="nil"/>
          <w:right w:val="nil"/>
          <w:between w:val="nil"/>
        </w:pBdr>
        <w:ind w:firstLine="284"/>
        <w:jc w:val="both"/>
      </w:pPr>
      <w:r>
        <w:t>Zira mevcut dava</w:t>
      </w:r>
      <w:r>
        <w:t xml:space="preserve">da Mahkeme'nin karşılaştığı durum emsalsizdir. Bu nedenle benzeri görülmemiş bir çözümü emreder. Her zamanki araçlar işe yaramamıştır. Bu durum, 98. </w:t>
      </w:r>
      <w:proofErr w:type="gramStart"/>
      <w:r>
        <w:t>paragrafta</w:t>
      </w:r>
      <w:proofErr w:type="gramEnd"/>
      <w:r>
        <w:t xml:space="preserve"> açıklanmış ve hüküm kısmının 5. </w:t>
      </w:r>
      <w:proofErr w:type="gramStart"/>
      <w:r>
        <w:t>kaleminde</w:t>
      </w:r>
      <w:proofErr w:type="gramEnd"/>
      <w:r>
        <w:t xml:space="preserve"> terk edilmiştir. Ancak bir karar </w:t>
      </w:r>
      <w:proofErr w:type="gramStart"/>
      <w:r>
        <w:t>kabul</w:t>
      </w:r>
      <w:proofErr w:type="gramEnd"/>
      <w:r>
        <w:t xml:space="preserve"> edildiğinde, oy</w:t>
      </w:r>
      <w:r>
        <w:t xml:space="preserve">lanan muhakeme bölümünün paragrafları değil, hüküm bölümünün kalemleridir. </w:t>
      </w:r>
    </w:p>
    <w:p w:rsidR="00380A26" w:rsidRDefault="0059142E">
      <w:pPr>
        <w:pBdr>
          <w:top w:val="nil"/>
          <w:left w:val="nil"/>
          <w:bottom w:val="nil"/>
          <w:right w:val="nil"/>
          <w:between w:val="nil"/>
        </w:pBdr>
        <w:ind w:firstLine="284"/>
        <w:jc w:val="both"/>
      </w:pPr>
      <w:r>
        <w:t xml:space="preserve">Şunu merak etmekten kendimi alamıyorum, neden dört yıl önce Büyük Daire, </w:t>
      </w:r>
      <w:r>
        <w:rPr>
          <w:i/>
        </w:rPr>
        <w:t xml:space="preserve">Burmych ve </w:t>
      </w:r>
      <w:proofErr w:type="gramStart"/>
      <w:r>
        <w:rPr>
          <w:i/>
        </w:rPr>
        <w:t>Diğerleri</w:t>
      </w:r>
      <w:r>
        <w:t>'nin</w:t>
      </w:r>
      <w:proofErr w:type="gramEnd"/>
      <w:r>
        <w:t xml:space="preserve"> hüküm kısmındaki durumun istisnailiğine atıfta bulunmak için yeterli bir yol bulmu</w:t>
      </w:r>
      <w:r>
        <w:t xml:space="preserve">şken, Daire, mevcut kararın hükümlü kısmının 5. </w:t>
      </w:r>
      <w:proofErr w:type="gramStart"/>
      <w:r>
        <w:t>kalemini</w:t>
      </w:r>
      <w:proofErr w:type="gramEnd"/>
      <w:r>
        <w:t xml:space="preserve"> formüle ederken Büyük Daire örneğini takip etmemiştir.</w:t>
      </w:r>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ind w:left="397"/>
        <w:jc w:val="center"/>
        <w:rPr>
          <w:smallCaps/>
          <w:color w:val="000000"/>
        </w:rPr>
      </w:pPr>
      <w:r>
        <w:rPr>
          <w:smallCaps/>
          <w:color w:val="000000"/>
        </w:rPr>
        <w:t>V</w:t>
      </w:r>
    </w:p>
    <w:p w:rsidR="00380A26" w:rsidRDefault="0059142E">
      <w:pPr>
        <w:pBdr>
          <w:top w:val="nil"/>
          <w:left w:val="nil"/>
          <w:bottom w:val="nil"/>
          <w:right w:val="nil"/>
          <w:between w:val="nil"/>
        </w:pBdr>
        <w:ind w:firstLine="284"/>
        <w:jc w:val="both"/>
      </w:pPr>
      <w:r>
        <w:rPr>
          <w:color w:val="000000"/>
        </w:rPr>
        <w:t>38. </w:t>
      </w:r>
      <w:r>
        <w:t xml:space="preserve">Bazılarının, birçok başvurucunun şikayetlerinin incelenmesinin reddedildiği bu kararı, bir üye Devletin toplu olarak Sözleşme’yi ihlal etme sorumluluğundan kaçabileceğinin bir işareti olarak okuma riski vardır çünkü Mahkeme, o Devlete karşı, bunlarla başa </w:t>
      </w:r>
      <w:r>
        <w:t xml:space="preserve">çıkamayacak </w:t>
      </w:r>
      <w:proofErr w:type="gramStart"/>
      <w:r>
        <w:t>kadar</w:t>
      </w:r>
      <w:proofErr w:type="gramEnd"/>
      <w:r>
        <w:t xml:space="preserve"> şikayetlerle dolup taşabilir ve onları incelememeye karar verir.</w:t>
      </w:r>
    </w:p>
    <w:p w:rsidR="00380A26" w:rsidRDefault="0059142E">
      <w:pPr>
        <w:pBdr>
          <w:top w:val="nil"/>
          <w:left w:val="nil"/>
          <w:bottom w:val="nil"/>
          <w:right w:val="nil"/>
          <w:between w:val="nil"/>
        </w:pBdr>
        <w:ind w:firstLine="284"/>
        <w:jc w:val="both"/>
      </w:pPr>
      <w:r>
        <w:t xml:space="preserve">Dürüst olmak gerekirse: Bir rejim haydut olmaya karar verirse, bunu </w:t>
      </w:r>
      <w:r>
        <w:rPr>
          <w:i/>
        </w:rPr>
        <w:t>büyük bir şekilde</w:t>
      </w:r>
      <w:r>
        <w:t xml:space="preserve"> yapmalıdır. Ve </w:t>
      </w:r>
      <w:proofErr w:type="gramStart"/>
      <w:r>
        <w:t>eğer</w:t>
      </w:r>
      <w:proofErr w:type="gramEnd"/>
      <w:r>
        <w:t xml:space="preserve"> “büyük yaparak” sorumluluktan kaçılabilirse, neden denemeyesiniz?</w:t>
      </w:r>
    </w:p>
    <w:p w:rsidR="00380A26" w:rsidRDefault="0059142E">
      <w:pPr>
        <w:pBdr>
          <w:top w:val="nil"/>
          <w:left w:val="nil"/>
          <w:bottom w:val="nil"/>
          <w:right w:val="nil"/>
          <w:between w:val="nil"/>
        </w:pBdr>
        <w:ind w:firstLine="284"/>
        <w:jc w:val="both"/>
      </w:pPr>
      <w:r>
        <w:rPr>
          <w:color w:val="000000"/>
        </w:rPr>
        <w:t>3</w:t>
      </w:r>
      <w:r>
        <w:rPr>
          <w:color w:val="000000"/>
        </w:rPr>
        <w:t>9. </w:t>
      </w:r>
      <w:r>
        <w:t>Yakın zamanda Mahkeme, Mahkeme'yi açık bir şekilde “tıkanmış, doygun ve su basmış” hale getirmeyi ve “işleyişini felce uğratmayı” amaçlayan başvuruların sayısını önemli ölçüde artırma girişimini ele almıştır (</w:t>
      </w:r>
      <w:r>
        <w:rPr>
          <w:i/>
        </w:rPr>
        <w:t xml:space="preserve">Zambrano v. Fransa </w:t>
      </w:r>
      <w:r>
        <w:t>(k.e.k.), no. 41994/21, §</w:t>
      </w:r>
      <w:r>
        <w:t xml:space="preserve"> 36, 21 Eylül 2021). Bu davada, </w:t>
      </w:r>
      <w:r>
        <w:lastRenderedPageBreak/>
        <w:t>başvuru hakkının, Mahkeme'yi bir başvuru dalgasına boğma ve böylece felce uğratma stratejisi izleyen başvurucular tarafından kötüye kullanıldığı kaydedilmiştir.</w:t>
      </w:r>
    </w:p>
    <w:p w:rsidR="00380A26" w:rsidRDefault="0059142E">
      <w:pPr>
        <w:pBdr>
          <w:top w:val="nil"/>
          <w:left w:val="nil"/>
          <w:bottom w:val="nil"/>
          <w:right w:val="nil"/>
          <w:between w:val="nil"/>
        </w:pBdr>
        <w:ind w:firstLine="284"/>
        <w:jc w:val="both"/>
      </w:pPr>
      <w:r>
        <w:rPr>
          <w:color w:val="000000"/>
        </w:rPr>
        <w:t>40. </w:t>
      </w:r>
      <w:r>
        <w:t>Ama ya benzer bir strateji, amaçları ne olursa olsun bir gr</w:t>
      </w:r>
      <w:r>
        <w:t>up başvurucu tarafından değil de, Sözleşme ihlallerinin sorumluluğundan kaçmak isteyen bir üye Devlet Hükümeti tarafından izlenirse?</w:t>
      </w:r>
    </w:p>
    <w:p w:rsidR="00380A26" w:rsidRDefault="0059142E">
      <w:pPr>
        <w:spacing w:line="276" w:lineRule="auto"/>
        <w:ind w:firstLine="220"/>
        <w:jc w:val="both"/>
      </w:pPr>
      <w:r>
        <w:t xml:space="preserve">Şu soru cevaplan beklemekte ve hatta daha münasip hale gelir: Bu durumda alınan pozisyon, artan sayıda davada tekrar </w:t>
      </w:r>
      <w:proofErr w:type="gramStart"/>
      <w:r>
        <w:t>kabul</w:t>
      </w:r>
      <w:proofErr w:type="gramEnd"/>
      <w:r>
        <w:t xml:space="preserve"> edilebilir mi? Bu tür durumların artık “istisnai” olarak görülmemesi için bu kaç kez olabilir?</w:t>
      </w:r>
    </w:p>
    <w:p w:rsidR="00380A26" w:rsidRDefault="0059142E">
      <w:pPr>
        <w:pBdr>
          <w:top w:val="nil"/>
          <w:left w:val="nil"/>
          <w:bottom w:val="nil"/>
          <w:right w:val="nil"/>
          <w:between w:val="nil"/>
        </w:pBdr>
        <w:ind w:firstLine="284"/>
        <w:jc w:val="both"/>
      </w:pPr>
      <w:bookmarkStart w:id="35" w:name="_heading=h.3ygebqi" w:colFirst="0" w:colLast="0"/>
      <w:bookmarkEnd w:id="35"/>
      <w:r>
        <w:rPr>
          <w:color w:val="000000"/>
        </w:rPr>
        <w:t>41.  </w:t>
      </w:r>
      <w:r>
        <w:t>Sonuç olarak, mevcut davada Mahke</w:t>
      </w:r>
      <w:r>
        <w:t xml:space="preserve">me'nin karşılaştığı durum, şimdiye </w:t>
      </w:r>
      <w:proofErr w:type="gramStart"/>
      <w:r>
        <w:t>kadar</w:t>
      </w:r>
      <w:proofErr w:type="gramEnd"/>
      <w:r>
        <w:t xml:space="preserve"> geçerli olan tüm standartlara göre gerçekten emsalsiz ve istisnai bir durumdur veya en iyi ihtimalle - daha doğrusu en kötüsü - sadece </w:t>
      </w:r>
      <w:r>
        <w:rPr>
          <w:i/>
        </w:rPr>
        <w:t xml:space="preserve">Burmych ve diğerleri </w:t>
      </w:r>
      <w:r>
        <w:t>ile karşılaştırılabilir. Ancak prensipte benzer bir istisna</w:t>
      </w:r>
      <w:r>
        <w:t xml:space="preserve"> “tekrarlanabilir”. Bu nedenle, bu istisnai duruma ek olarak başkaları da olabileceğinden, bir çare veya güvence veya denge bulunmalı ve uygulanmalıdır. Söylemeye gerek yok ki, bu çare ya da güvence ya da denge, yargısal olamaz ve olmamalıdır. </w:t>
      </w:r>
    </w:p>
    <w:p w:rsidR="00380A26" w:rsidRDefault="0059142E">
      <w:pPr>
        <w:pBdr>
          <w:top w:val="nil"/>
          <w:left w:val="nil"/>
          <w:bottom w:val="nil"/>
          <w:right w:val="nil"/>
          <w:between w:val="nil"/>
        </w:pBdr>
        <w:ind w:firstLine="284"/>
        <w:jc w:val="both"/>
      </w:pPr>
      <w:bookmarkStart w:id="36" w:name="_heading=h.8g6ja0ejw778" w:colFirst="0" w:colLast="0"/>
      <w:bookmarkEnd w:id="36"/>
      <w:r>
        <w:t xml:space="preserve">Bu amaçla, </w:t>
      </w:r>
      <w:r>
        <w:t>Yargıç Koskelo'ya ancak "ötesindeki sonuçların başka kurumlarca düşünülmek üzere kaldığı" konusunda katılıyorum.</w:t>
      </w:r>
    </w:p>
    <w:p w:rsidR="00380A26" w:rsidRDefault="00380A26">
      <w:pPr>
        <w:pBdr>
          <w:top w:val="nil"/>
          <w:left w:val="nil"/>
          <w:bottom w:val="nil"/>
          <w:right w:val="nil"/>
          <w:between w:val="nil"/>
        </w:pBdr>
        <w:ind w:firstLine="284"/>
        <w:jc w:val="both"/>
      </w:pPr>
      <w:bookmarkStart w:id="37" w:name="_heading=h.9r2jqxbl4096" w:colFirst="0" w:colLast="0"/>
      <w:bookmarkEnd w:id="37"/>
    </w:p>
    <w:p w:rsidR="00380A26" w:rsidRDefault="0059142E">
      <w:pPr>
        <w:keepNext/>
        <w:keepLines/>
        <w:pBdr>
          <w:top w:val="nil"/>
          <w:left w:val="nil"/>
          <w:bottom w:val="nil"/>
          <w:right w:val="nil"/>
          <w:between w:val="nil"/>
        </w:pBdr>
        <w:tabs>
          <w:tab w:val="left" w:pos="454"/>
          <w:tab w:val="left" w:pos="539"/>
          <w:tab w:val="left" w:pos="624"/>
          <w:tab w:val="left" w:pos="709"/>
          <w:tab w:val="left" w:pos="794"/>
        </w:tabs>
        <w:spacing w:before="100" w:after="240"/>
        <w:ind w:left="397"/>
        <w:jc w:val="center"/>
        <w:rPr>
          <w:smallCaps/>
          <w:color w:val="000000"/>
        </w:rPr>
      </w:pPr>
      <w:r>
        <w:rPr>
          <w:smallCaps/>
          <w:color w:val="000000"/>
        </w:rPr>
        <w:t>VI</w:t>
      </w:r>
    </w:p>
    <w:p w:rsidR="00380A26" w:rsidRDefault="0059142E">
      <w:pPr>
        <w:pBdr>
          <w:top w:val="nil"/>
          <w:left w:val="nil"/>
          <w:bottom w:val="nil"/>
          <w:right w:val="nil"/>
          <w:between w:val="nil"/>
        </w:pBdr>
        <w:ind w:firstLine="284"/>
        <w:jc w:val="both"/>
      </w:pPr>
      <w:r>
        <w:rPr>
          <w:color w:val="000000"/>
        </w:rPr>
        <w:t>42.  </w:t>
      </w:r>
      <w:r>
        <w:t>Hâkim Koskelo'nun, mevcut davada başvurucular tarafından işlendikleri iddia edilen suçların Türk hukukunda “kişisel suçlar” olarak şüp</w:t>
      </w:r>
      <w:r>
        <w:t>heli bir şekilde sınıflandırılmasına ilişkin sözlerine katılıyorum. Bir yanda sözde yasadışı örgüt hiyerarşisinden talimat aldıkları iddia edilen hakim ve savcılar ile diğer yanda örgüt üyeliği iddialarının “kişisel suç” olarak sınıflandırılması arasındaki</w:t>
      </w:r>
      <w:r>
        <w:t xml:space="preserve"> çelişki dikkat çekicidir. Gerçekten de, “iç hukukun böyle bir yorumu ne makul ne de </w:t>
      </w:r>
      <w:proofErr w:type="gramStart"/>
      <w:r>
        <w:t>Sözleşme’nin</w:t>
      </w:r>
      <w:proofErr w:type="gramEnd"/>
      <w:r>
        <w:t xml:space="preserve"> öngörülebilirlik ve yasal </w:t>
      </w:r>
      <w:r w:rsidR="00DA2935">
        <w:t>belirlilik</w:t>
      </w:r>
      <w:r>
        <w:t xml:space="preserve"> gereklilikleriyle tutarlı görünmektedir”.</w:t>
      </w:r>
    </w:p>
    <w:p w:rsidR="00380A26" w:rsidRDefault="0059142E">
      <w:pPr>
        <w:pBdr>
          <w:top w:val="nil"/>
          <w:left w:val="nil"/>
          <w:bottom w:val="nil"/>
          <w:right w:val="nil"/>
          <w:between w:val="nil"/>
        </w:pBdr>
        <w:ind w:firstLine="284"/>
        <w:jc w:val="both"/>
      </w:pPr>
      <w:r>
        <w:rPr>
          <w:color w:val="000000"/>
        </w:rPr>
        <w:t>43. </w:t>
      </w:r>
      <w:r>
        <w:t>Bu bağlamda, itiraf etmeliyim ki, benim de parçası olduğum Daire'nin, yukarıd</w:t>
      </w:r>
      <w:r>
        <w:t xml:space="preserve">a bahsi geçen </w:t>
      </w:r>
      <w:r>
        <w:rPr>
          <w:i/>
        </w:rPr>
        <w:t>Baş</w:t>
      </w:r>
      <w:r>
        <w:t>’ta “Başvurucunun iddia edilen davranışının hangi suç kategorisine girdiğini belirlemek Mahkemenin görevi değildir.” (§ 158) ifadesine daha eleştirel yaklaşmalıydım.</w:t>
      </w:r>
    </w:p>
    <w:p w:rsidR="00380A26" w:rsidRDefault="0059142E">
      <w:pPr>
        <w:spacing w:line="276" w:lineRule="auto"/>
        <w:ind w:firstLine="220"/>
        <w:jc w:val="both"/>
      </w:pPr>
      <w:r>
        <w:t>Belki de Mahkeme’nin göreviydi. Ya da en azından bu ifadeye uygun bir hük</w:t>
      </w:r>
      <w:r>
        <w:t>üm eşlik etmeliydi.</w:t>
      </w:r>
    </w:p>
    <w:p w:rsidR="00380A26" w:rsidRDefault="0059142E">
      <w:pPr>
        <w:pBdr>
          <w:top w:val="nil"/>
          <w:left w:val="nil"/>
          <w:bottom w:val="nil"/>
          <w:right w:val="nil"/>
          <w:between w:val="nil"/>
        </w:pBdr>
        <w:ind w:firstLine="284"/>
        <w:jc w:val="both"/>
      </w:pPr>
      <w:r>
        <w:rPr>
          <w:color w:val="000000"/>
        </w:rPr>
        <w:t>44. </w:t>
      </w:r>
      <w:r>
        <w:t xml:space="preserve">Son olarak, </w:t>
      </w:r>
      <w:r>
        <w:rPr>
          <w:i/>
        </w:rPr>
        <w:t>Baş</w:t>
      </w:r>
      <w:r>
        <w:t>’ta</w:t>
      </w:r>
      <w:r>
        <w:rPr>
          <w:i/>
        </w:rPr>
        <w:t xml:space="preserve"> </w:t>
      </w:r>
      <w:r>
        <w:t xml:space="preserve">soruşturma dosyasına erişiminin kısıtlanması ve sulh ceza hakimliklerinin bağımsız ve tarafsız olmadığı iddiasıyla ilgili olarak Bay Baş’ın </w:t>
      </w:r>
      <w:proofErr w:type="gramStart"/>
      <w:r>
        <w:t>5</w:t>
      </w:r>
      <w:proofErr w:type="gramEnd"/>
      <w:r>
        <w:t xml:space="preserve">. </w:t>
      </w:r>
      <w:proofErr w:type="gramStart"/>
      <w:r>
        <w:t>maddesinin</w:t>
      </w:r>
      <w:proofErr w:type="gramEnd"/>
      <w:r>
        <w:t xml:space="preserve"> 4. </w:t>
      </w:r>
      <w:proofErr w:type="gramStart"/>
      <w:r>
        <w:t>fıkrası</w:t>
      </w:r>
      <w:proofErr w:type="gramEnd"/>
      <w:r>
        <w:t xml:space="preserve"> kapsamındaki bazı şikayetlerini de farklı şekild</w:t>
      </w:r>
      <w:r>
        <w:t xml:space="preserve">e değerlendirmem gerektiğini kabul etmek için bugün bu fırsatı değerlendiriyorum. </w:t>
      </w:r>
    </w:p>
    <w:p w:rsidR="00380A26" w:rsidRDefault="0059142E">
      <w:pPr>
        <w:spacing w:line="276" w:lineRule="auto"/>
        <w:ind w:firstLine="220"/>
        <w:jc w:val="both"/>
        <w:rPr>
          <w:color w:val="000000"/>
        </w:rPr>
      </w:pPr>
      <w:r>
        <w:t xml:space="preserve">Tabii ki, bu itiraf </w:t>
      </w:r>
      <w:r>
        <w:rPr>
          <w:i/>
        </w:rPr>
        <w:t>vaka sonrası</w:t>
      </w:r>
      <w:r>
        <w:t xml:space="preserve"> oldu, ama yine de biraz rahatlama sağlıyor.</w:t>
      </w:r>
    </w:p>
    <w:sectPr w:rsidR="00380A26">
      <w:headerReference w:type="default" r:id="rId16"/>
      <w:footerReference w:type="default" r:id="rId17"/>
      <w:pgSz w:w="11900" w:h="16840"/>
      <w:pgMar w:top="2274" w:right="2274" w:bottom="2274" w:left="2274" w:header="1701" w:footer="72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142E" w:rsidRDefault="0059142E">
      <w:r>
        <w:separator/>
      </w:r>
    </w:p>
  </w:endnote>
  <w:endnote w:type="continuationSeparator" w:id="0">
    <w:p w:rsidR="0059142E" w:rsidRDefault="005914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A2"/>
    <w:family w:val="roman"/>
    <w:pitch w:val="variable"/>
    <w:sig w:usb0="00000287" w:usb1="00000000" w:usb2="00000000" w:usb3="00000000" w:csb0="0000009F" w:csb1="00000000"/>
  </w:font>
  <w:font w:name="Helvetica Neue">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rPr>
    </w:pPr>
    <w:r>
      <w:rPr>
        <w:noProof/>
        <w:color w:val="000000"/>
        <w:lang w:val="tr-TR" w:eastAsia="tr-TR"/>
      </w:rPr>
      <w:drawing>
        <wp:inline distT="0" distB="0" distL="0" distR="0">
          <wp:extent cx="771525" cy="619125"/>
          <wp:effectExtent l="0" t="0" r="0" b="0"/>
          <wp:docPr id="1073741832" name="image2.png" descr="R:\1_Graphics&amp;Web\Court_Graphic_Charter\2013\ECHR_Stationery\Documents_and_Letters\Cover_Pages_And_Docs\White_600_dpi\ECHR_CoverpageCS61_ECHR_Coverpage_Footer_COE_Black.png"/>
          <wp:cNvGraphicFramePr/>
          <a:graphic xmlns:a="http://schemas.openxmlformats.org/drawingml/2006/main">
            <a:graphicData uri="http://schemas.openxmlformats.org/drawingml/2006/picture">
              <pic:pic xmlns:pic="http://schemas.openxmlformats.org/drawingml/2006/picture">
                <pic:nvPicPr>
                  <pic:cNvPr id="0" name="image2.png" descr="R:\1_Graphics&amp;Web\Court_Graphic_Charter\2013\ECHR_Stationery\Documents_and_Letters\Cover_Pages_And_Docs\White_600_dpi\ECHR_CoverpageCS61_ECHR_Coverpage_Footer_COE_Black.png"/>
                  <pic:cNvPicPr preferRelativeResize="0"/>
                </pic:nvPicPr>
                <pic:blipFill>
                  <a:blip r:embed="rId1"/>
                  <a:srcRect/>
                  <a:stretch>
                    <a:fillRect/>
                  </a:stretch>
                </pic:blipFill>
                <pic:spPr>
                  <a:xfrm>
                    <a:off x="0" y="0"/>
                    <a:ext cx="771525" cy="619125"/>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rPr>
    </w:pPr>
    <w:r>
      <w:rPr>
        <w:noProof/>
        <w:color w:val="000000"/>
        <w:lang w:val="tr-TR" w:eastAsia="tr-TR"/>
      </w:rPr>
      <w:drawing>
        <wp:inline distT="0" distB="0" distL="0" distR="0">
          <wp:extent cx="771525" cy="619125"/>
          <wp:effectExtent l="0" t="0" r="0" b="0"/>
          <wp:docPr id="1073741830" name="image2.png" descr="R:\1_Graphics&amp;Web\Court_Graphic_Charter\2013\ECHR_Stationery\Documents_and_Letters\Cover_Pages_And_Docs\White_600_dpi\ECHR_CoverpageCS61_ECHR_Coverpage_Footer_COE_Black.png"/>
          <wp:cNvGraphicFramePr/>
          <a:graphic xmlns:a="http://schemas.openxmlformats.org/drawingml/2006/main">
            <a:graphicData uri="http://schemas.openxmlformats.org/drawingml/2006/picture">
              <pic:pic xmlns:pic="http://schemas.openxmlformats.org/drawingml/2006/picture">
                <pic:nvPicPr>
                  <pic:cNvPr id="0" name="image2.png" descr="R:\1_Graphics&amp;Web\Court_Graphic_Charter\2013\ECHR_Stationery\Documents_and_Letters\Cover_Pages_And_Docs\White_600_dpi\ECHR_CoverpageCS61_ECHR_Coverpage_Footer_COE_Black.png"/>
                  <pic:cNvPicPr preferRelativeResize="0"/>
                </pic:nvPicPr>
                <pic:blipFill>
                  <a:blip r:embed="rId1"/>
                  <a:srcRect/>
                  <a:stretch>
                    <a:fillRect/>
                  </a:stretch>
                </pic:blipFill>
                <pic:spPr>
                  <a:xfrm>
                    <a:off x="0" y="0"/>
                    <a:ext cx="771525" cy="619125"/>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sz w:val="18"/>
        <w:szCs w:val="18"/>
      </w:rPr>
    </w:pPr>
    <w:r>
      <w:rPr>
        <w:color w:val="000000"/>
        <w:sz w:val="18"/>
        <w:szCs w:val="18"/>
      </w:rPr>
      <w:fldChar w:fldCharType="begin"/>
    </w:r>
    <w:r>
      <w:rPr>
        <w:color w:val="000000"/>
        <w:sz w:val="18"/>
        <w:szCs w:val="18"/>
      </w:rPr>
      <w:instrText>PAGE</w:instrText>
    </w:r>
    <w:r w:rsidR="00E32BE0">
      <w:rPr>
        <w:color w:val="000000"/>
        <w:sz w:val="18"/>
        <w:szCs w:val="18"/>
      </w:rPr>
      <w:fldChar w:fldCharType="separate"/>
    </w:r>
    <w:r w:rsidR="00237B28">
      <w:rPr>
        <w:noProof/>
        <w:color w:val="000000"/>
        <w:sz w:val="18"/>
        <w:szCs w:val="18"/>
      </w:rPr>
      <w:t>27</w:t>
    </w:r>
    <w:r>
      <w:rPr>
        <w:color w:val="000000"/>
        <w:sz w:val="18"/>
        <w:szCs w:val="18"/>
      </w:rPr>
      <w:fldChar w:fldCharType="end"/>
    </w:r>
  </w:p>
  <w:p w:rsidR="00380A26" w:rsidRDefault="00380A26">
    <w:pPr>
      <w:pBdr>
        <w:top w:val="nil"/>
        <w:left w:val="nil"/>
        <w:bottom w:val="nil"/>
        <w:right w:val="nil"/>
        <w:between w:val="nil"/>
      </w:pBdr>
      <w:jc w:val="center"/>
      <w:rPr>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sz w:val="18"/>
        <w:szCs w:val="18"/>
      </w:rPr>
    </w:pPr>
    <w:r>
      <w:rPr>
        <w:color w:val="000000"/>
        <w:sz w:val="18"/>
        <w:szCs w:val="18"/>
      </w:rPr>
      <w:fldChar w:fldCharType="begin"/>
    </w:r>
    <w:r>
      <w:rPr>
        <w:color w:val="000000"/>
        <w:sz w:val="18"/>
        <w:szCs w:val="18"/>
      </w:rPr>
      <w:instrText>PAGE</w:instrText>
    </w:r>
    <w:r w:rsidR="00E32BE0">
      <w:rPr>
        <w:color w:val="000000"/>
        <w:sz w:val="18"/>
        <w:szCs w:val="18"/>
      </w:rPr>
      <w:fldChar w:fldCharType="separate"/>
    </w:r>
    <w:r w:rsidR="00237B28">
      <w:rPr>
        <w:noProof/>
        <w:color w:val="000000"/>
        <w:sz w:val="18"/>
        <w:szCs w:val="18"/>
      </w:rPr>
      <w:t>30</w:t>
    </w:r>
    <w:r>
      <w:rPr>
        <w:color w:val="000000"/>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sz w:val="18"/>
        <w:szCs w:val="18"/>
      </w:rPr>
    </w:pPr>
    <w:r>
      <w:rPr>
        <w:color w:val="000000"/>
        <w:sz w:val="18"/>
        <w:szCs w:val="18"/>
      </w:rPr>
      <w:fldChar w:fldCharType="begin"/>
    </w:r>
    <w:r>
      <w:rPr>
        <w:color w:val="000000"/>
        <w:sz w:val="18"/>
        <w:szCs w:val="18"/>
      </w:rPr>
      <w:instrText>PAGE</w:instrText>
    </w:r>
    <w:r w:rsidR="00E32BE0">
      <w:rPr>
        <w:color w:val="000000"/>
        <w:sz w:val="18"/>
        <w:szCs w:val="18"/>
      </w:rPr>
      <w:fldChar w:fldCharType="separate"/>
    </w:r>
    <w:r w:rsidR="00237B28">
      <w:rPr>
        <w:noProof/>
        <w:color w:val="000000"/>
        <w:sz w:val="18"/>
        <w:szCs w:val="18"/>
      </w:rPr>
      <w:t>44</w:t>
    </w:r>
    <w:r>
      <w:rPr>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142E" w:rsidRDefault="0059142E">
      <w:r>
        <w:separator/>
      </w:r>
    </w:p>
  </w:footnote>
  <w:footnote w:type="continuationSeparator" w:id="0">
    <w:p w:rsidR="0059142E" w:rsidRDefault="0059142E">
      <w:r>
        <w:continuationSeparator/>
      </w:r>
    </w:p>
  </w:footnote>
  <w:footnote w:id="1">
    <w:p w:rsidR="00380A26" w:rsidRDefault="0059142E">
      <w:pPr>
        <w:jc w:val="both"/>
        <w:rPr>
          <w:sz w:val="20"/>
          <w:szCs w:val="20"/>
        </w:rPr>
      </w:pPr>
      <w:r>
        <w:rPr>
          <w:vertAlign w:val="superscript"/>
        </w:rPr>
        <w:footnoteRef/>
      </w:r>
      <w:r>
        <w:rPr>
          <w:sz w:val="20"/>
          <w:szCs w:val="20"/>
        </w:rPr>
        <w:t xml:space="preserve"> </w:t>
      </w:r>
      <w:r>
        <w:rPr>
          <w:sz w:val="20"/>
          <w:szCs w:val="20"/>
          <w:vertAlign w:val="superscript"/>
        </w:rPr>
        <w:t xml:space="preserve"> </w:t>
      </w:r>
      <w:r>
        <w:rPr>
          <w:sz w:val="20"/>
          <w:szCs w:val="20"/>
        </w:rPr>
        <w:t xml:space="preserve">Başvurucular tarafından ileri sürülen şikayetlerin tam listesi için, </w:t>
      </w:r>
      <w:r>
        <w:rPr>
          <w:i/>
          <w:sz w:val="20"/>
          <w:szCs w:val="20"/>
        </w:rPr>
        <w:t xml:space="preserve">Altun v Türkiye </w:t>
      </w:r>
      <w:r>
        <w:rPr>
          <w:sz w:val="20"/>
          <w:szCs w:val="20"/>
        </w:rPr>
        <w:t>(no. 60065/16) ve 545 diğer başvuruya ilişkin 17 Mayıs 2019 tarihli tebliğ raporuna bakınız.</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rPr>
    </w:pPr>
    <w:r>
      <w:rPr>
        <w:noProof/>
        <w:color w:val="000000"/>
        <w:lang w:val="tr-TR" w:eastAsia="tr-TR"/>
      </w:rPr>
      <w:drawing>
        <wp:inline distT="0" distB="0" distL="0" distR="0">
          <wp:extent cx="2962275" cy="1219200"/>
          <wp:effectExtent l="0" t="0" r="0" b="0"/>
          <wp:docPr id="1073741831" name="image1.png" descr="R:\1_Graphics&amp;Web\Court_Graphic_Charter\2013\ECHR_Stationery\Documents_and_Letters\Cover_Pages_And_Docs\White_600_dpi\ECHR_CoverpageCS61_ECHR_Coverpage_Header_Black.png"/>
          <wp:cNvGraphicFramePr/>
          <a:graphic xmlns:a="http://schemas.openxmlformats.org/drawingml/2006/main">
            <a:graphicData uri="http://schemas.openxmlformats.org/drawingml/2006/picture">
              <pic:pic xmlns:pic="http://schemas.openxmlformats.org/drawingml/2006/picture">
                <pic:nvPicPr>
                  <pic:cNvPr id="0" name="image1.png" descr="R:\1_Graphics&amp;Web\Court_Graphic_Charter\2013\ECHR_Stationery\Documents_and_Letters\Cover_Pages_And_Docs\White_600_dpi\ECHR_CoverpageCS61_ECHR_Coverpage_Header_Black.png"/>
                  <pic:cNvPicPr preferRelativeResize="0"/>
                </pic:nvPicPr>
                <pic:blipFill>
                  <a:blip r:embed="rId1"/>
                  <a:srcRect/>
                  <a:stretch>
                    <a:fillRect/>
                  </a:stretch>
                </pic:blipFill>
                <pic:spPr>
                  <a:xfrm>
                    <a:off x="0" y="0"/>
                    <a:ext cx="2962275" cy="12192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rPr>
    </w:pPr>
    <w:r>
      <w:rPr>
        <w:noProof/>
        <w:color w:val="000000"/>
        <w:lang w:val="tr-TR" w:eastAsia="tr-TR"/>
      </w:rPr>
      <w:drawing>
        <wp:inline distT="0" distB="0" distL="0" distR="0">
          <wp:extent cx="2962275" cy="1219200"/>
          <wp:effectExtent l="0" t="0" r="0" b="0"/>
          <wp:docPr id="1073741829" name="image1.png" descr="R:\1_Graphics&amp;Web\Court_Graphic_Charter\2013\ECHR_Stationery\Documents_and_Letters\Cover_Pages_And_Docs\White_600_dpi\ECHR_CoverpageCS61_ECHR_Coverpage_Header_Black.png"/>
          <wp:cNvGraphicFramePr/>
          <a:graphic xmlns:a="http://schemas.openxmlformats.org/drawingml/2006/main">
            <a:graphicData uri="http://schemas.openxmlformats.org/drawingml/2006/picture">
              <pic:pic xmlns:pic="http://schemas.openxmlformats.org/drawingml/2006/picture">
                <pic:nvPicPr>
                  <pic:cNvPr id="0" name="image1.png" descr="R:\1_Graphics&amp;Web\Court_Graphic_Charter\2013\ECHR_Stationery\Documents_and_Letters\Cover_Pages_And_Docs\White_600_dpi\ECHR_CoverpageCS61_ECHR_Coverpage_Header_Black.png"/>
                  <pic:cNvPicPr preferRelativeResize="0"/>
                </pic:nvPicPr>
                <pic:blipFill>
                  <a:blip r:embed="rId1"/>
                  <a:srcRect/>
                  <a:stretch>
                    <a:fillRect/>
                  </a:stretch>
                </pic:blipFill>
                <pic:spPr>
                  <a:xfrm>
                    <a:off x="0" y="0"/>
                    <a:ext cx="2962275" cy="121920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jc w:val="center"/>
      <w:rPr>
        <w:color w:val="000000"/>
        <w:sz w:val="18"/>
        <w:szCs w:val="18"/>
      </w:rPr>
    </w:pPr>
    <w:r>
      <w:rPr>
        <w:color w:val="000000"/>
        <w:sz w:val="18"/>
        <w:szCs w:val="18"/>
      </w:rPr>
      <w:t xml:space="preserve">TURAN </w:t>
    </w:r>
    <w:r>
      <w:rPr>
        <w:sz w:val="18"/>
        <w:szCs w:val="18"/>
      </w:rPr>
      <w:t xml:space="preserve">VE </w:t>
    </w:r>
    <w:proofErr w:type="gramStart"/>
    <w:r>
      <w:rPr>
        <w:sz w:val="18"/>
        <w:szCs w:val="18"/>
      </w:rPr>
      <w:t xml:space="preserve">DİĞERLERİ </w:t>
    </w:r>
    <w:r>
      <w:rPr>
        <w:color w:val="000000"/>
        <w:sz w:val="18"/>
        <w:szCs w:val="18"/>
      </w:rPr>
      <w:t xml:space="preserve"> v</w:t>
    </w:r>
    <w:proofErr w:type="gramEnd"/>
    <w:r>
      <w:rPr>
        <w:color w:val="000000"/>
        <w:sz w:val="18"/>
        <w:szCs w:val="18"/>
      </w:rPr>
      <w:t>. T</w:t>
    </w:r>
    <w:r>
      <w:rPr>
        <w:sz w:val="18"/>
        <w:szCs w:val="18"/>
      </w:rPr>
      <w:t>ÜRKİYE</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tabs>
        <w:tab w:val="center" w:pos="3685"/>
        <w:tab w:val="right" w:pos="7332"/>
      </w:tabs>
      <w:jc w:val="center"/>
      <w:rPr>
        <w:color w:val="000000"/>
        <w:sz w:val="18"/>
        <w:szCs w:val="18"/>
      </w:rPr>
    </w:pPr>
    <w:r>
      <w:rPr>
        <w:color w:val="000000"/>
        <w:sz w:val="18"/>
        <w:szCs w:val="18"/>
      </w:rPr>
      <w:t>TURAN AND OTHERS v. TURKEY JUDGMENT – SEPARATE OPINIONS</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A26" w:rsidRDefault="0059142E">
    <w:pPr>
      <w:pBdr>
        <w:top w:val="nil"/>
        <w:left w:val="nil"/>
        <w:bottom w:val="nil"/>
        <w:right w:val="nil"/>
        <w:between w:val="nil"/>
      </w:pBdr>
      <w:tabs>
        <w:tab w:val="center" w:pos="3685"/>
        <w:tab w:val="right" w:pos="7332"/>
      </w:tabs>
      <w:jc w:val="center"/>
      <w:rPr>
        <w:color w:val="000000"/>
        <w:sz w:val="18"/>
        <w:szCs w:val="18"/>
      </w:rPr>
    </w:pPr>
    <w:r>
      <w:rPr>
        <w:color w:val="000000"/>
        <w:sz w:val="18"/>
        <w:szCs w:val="18"/>
      </w:rPr>
      <w:t xml:space="preserve">TURAN </w:t>
    </w:r>
    <w:r>
      <w:rPr>
        <w:sz w:val="18"/>
        <w:szCs w:val="18"/>
      </w:rPr>
      <w:t xml:space="preserve">VE </w:t>
    </w:r>
    <w:proofErr w:type="gramStart"/>
    <w:r>
      <w:rPr>
        <w:sz w:val="18"/>
        <w:szCs w:val="18"/>
      </w:rPr>
      <w:t xml:space="preserve">DİĞERLERİ </w:t>
    </w:r>
    <w:r>
      <w:rPr>
        <w:color w:val="000000"/>
        <w:sz w:val="18"/>
        <w:szCs w:val="18"/>
      </w:rPr>
      <w:t xml:space="preserve"> v</w:t>
    </w:r>
    <w:proofErr w:type="gramEnd"/>
    <w:r>
      <w:rPr>
        <w:color w:val="000000"/>
        <w:sz w:val="18"/>
        <w:szCs w:val="18"/>
      </w:rPr>
      <w:t>. T</w:t>
    </w:r>
    <w:r>
      <w:rPr>
        <w:sz w:val="18"/>
        <w:szCs w:val="18"/>
      </w:rPr>
      <w:t>ÜRKİYE</w:t>
    </w:r>
    <w:r>
      <w:rPr>
        <w:color w:val="000000"/>
        <w:sz w:val="18"/>
        <w:szCs w:val="18"/>
      </w:rPr>
      <w:t xml:space="preserve"> – </w:t>
    </w:r>
    <w:r>
      <w:rPr>
        <w:sz w:val="18"/>
        <w:szCs w:val="18"/>
      </w:rPr>
      <w:t>AYRI GÖRÜŞLER</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3A0C0C"/>
    <w:multiLevelType w:val="multilevel"/>
    <w:tmpl w:val="A3B6EE54"/>
    <w:lvl w:ilvl="0">
      <w:start w:val="1"/>
      <w:numFmt w:val="decimal"/>
      <w:lvlText w:val="%1."/>
      <w:lvlJc w:val="left"/>
      <w:pPr>
        <w:ind w:left="140" w:hanging="140"/>
      </w:pPr>
      <w:rPr>
        <w:smallCaps w:val="0"/>
        <w:strike w:val="0"/>
        <w:shd w:val="clear" w:color="auto" w:fill="auto"/>
        <w:vertAlign w:val="baseline"/>
      </w:rPr>
    </w:lvl>
    <w:lvl w:ilvl="1">
      <w:start w:val="1"/>
      <w:numFmt w:val="upperRoman"/>
      <w:lvlText w:val="%2."/>
      <w:lvlJc w:val="left"/>
      <w:pPr>
        <w:ind w:left="369" w:hanging="369"/>
      </w:pPr>
      <w:rPr>
        <w:smallCaps w:val="0"/>
        <w:strike w:val="0"/>
        <w:shd w:val="clear" w:color="auto" w:fill="auto"/>
        <w:vertAlign w:val="baseline"/>
      </w:rPr>
    </w:lvl>
    <w:lvl w:ilvl="2">
      <w:start w:val="1"/>
      <w:numFmt w:val="upperLetter"/>
      <w:lvlText w:val="%3."/>
      <w:lvlJc w:val="left"/>
      <w:pPr>
        <w:ind w:left="510" w:hanging="340"/>
      </w:pPr>
      <w:rPr>
        <w:b/>
        <w:smallCaps w:val="0"/>
        <w:strike w:val="0"/>
        <w:shd w:val="clear" w:color="auto" w:fill="auto"/>
        <w:vertAlign w:val="baseline"/>
      </w:rPr>
    </w:lvl>
    <w:lvl w:ilvl="3">
      <w:start w:val="1"/>
      <w:numFmt w:val="decimal"/>
      <w:lvlText w:val="%4."/>
      <w:lvlJc w:val="left"/>
      <w:pPr>
        <w:ind w:left="680" w:hanging="340"/>
      </w:pPr>
      <w:rPr>
        <w:rFonts w:ascii="Times New Roman" w:eastAsia="Times New Roman" w:hAnsi="Times New Roman" w:cs="Times New Roman"/>
        <w:b w:val="0"/>
        <w:i/>
        <w:smallCaps w:val="0"/>
        <w:strike w:val="0"/>
        <w:sz w:val="24"/>
        <w:szCs w:val="24"/>
        <w:shd w:val="clear" w:color="auto" w:fill="auto"/>
        <w:vertAlign w:val="baseline"/>
      </w:rPr>
    </w:lvl>
    <w:lvl w:ilvl="4">
      <w:start w:val="1"/>
      <w:numFmt w:val="lowerLetter"/>
      <w:lvlText w:val="(%5)"/>
      <w:lvlJc w:val="left"/>
      <w:pPr>
        <w:ind w:left="851" w:hanging="341"/>
      </w:pPr>
      <w:rPr>
        <w:b/>
        <w:smallCaps w:val="0"/>
        <w:strike w:val="0"/>
        <w:sz w:val="20"/>
        <w:szCs w:val="20"/>
        <w:shd w:val="clear" w:color="auto" w:fill="auto"/>
        <w:vertAlign w:val="baseline"/>
      </w:rPr>
    </w:lvl>
    <w:lvl w:ilvl="5">
      <w:start w:val="1"/>
      <w:numFmt w:val="lowerRoman"/>
      <w:lvlText w:val="(%6)"/>
      <w:lvlJc w:val="left"/>
      <w:pPr>
        <w:ind w:left="1021" w:hanging="341"/>
      </w:pPr>
      <w:rPr>
        <w:b/>
        <w:smallCaps w:val="0"/>
        <w:strike w:val="0"/>
        <w:shd w:val="clear" w:color="auto" w:fill="auto"/>
        <w:vertAlign w:val="baseline"/>
      </w:rPr>
    </w:lvl>
    <w:lvl w:ilvl="6">
      <w:start w:val="1"/>
      <w:numFmt w:val="decimal"/>
      <w:lvlText w:val="(%7)"/>
      <w:lvlJc w:val="left"/>
      <w:pPr>
        <w:ind w:left="1247" w:hanging="396"/>
      </w:pPr>
      <w:rPr>
        <w:b/>
        <w:smallCaps w:val="0"/>
        <w:strike w:val="0"/>
        <w:shd w:val="clear" w:color="auto" w:fill="auto"/>
        <w:vertAlign w:val="baseline"/>
      </w:rPr>
    </w:lvl>
    <w:lvl w:ilvl="7">
      <w:start w:val="1"/>
      <w:numFmt w:val="decimal"/>
      <w:lvlText w:val="(%8)"/>
      <w:lvlJc w:val="left"/>
      <w:pPr>
        <w:ind w:left="1389" w:hanging="395"/>
      </w:pPr>
      <w:rPr>
        <w:b/>
        <w:smallCaps w:val="0"/>
        <w:strike w:val="0"/>
        <w:shd w:val="clear" w:color="auto" w:fill="auto"/>
        <w:vertAlign w:val="baseline"/>
      </w:rPr>
    </w:lvl>
    <w:lvl w:ilvl="8">
      <w:start w:val="1"/>
      <w:numFmt w:val="decimal"/>
      <w:lvlText w:val="(%9)"/>
      <w:lvlJc w:val="left"/>
      <w:pPr>
        <w:ind w:left="1531" w:hanging="396"/>
      </w:pPr>
      <w:rPr>
        <w:b/>
        <w:smallCaps w:val="0"/>
        <w:strike w:val="0"/>
        <w:shd w:val="clear" w:color="auto" w:fill="auto"/>
        <w:vertAlign w:val="baseline"/>
      </w:rPr>
    </w:lvl>
  </w:abstractNum>
  <w:abstractNum w:abstractNumId="1" w15:restartNumberingAfterBreak="0">
    <w:nsid w:val="340E2EBE"/>
    <w:multiLevelType w:val="multilevel"/>
    <w:tmpl w:val="C00E5566"/>
    <w:lvl w:ilvl="0">
      <w:start w:val="1"/>
      <w:numFmt w:val="decimal"/>
      <w:lvlText w:val="%1."/>
      <w:lvlJc w:val="left"/>
      <w:pPr>
        <w:ind w:left="140" w:hanging="140"/>
      </w:pPr>
      <w:rPr>
        <w:smallCaps w:val="0"/>
        <w:strike w:val="0"/>
        <w:shd w:val="clear" w:color="auto" w:fill="auto"/>
        <w:vertAlign w:val="baseline"/>
      </w:rPr>
    </w:lvl>
    <w:lvl w:ilvl="1">
      <w:start w:val="1"/>
      <w:numFmt w:val="upperRoman"/>
      <w:lvlText w:val="%2."/>
      <w:lvlJc w:val="left"/>
      <w:pPr>
        <w:ind w:left="369" w:hanging="369"/>
      </w:pPr>
      <w:rPr>
        <w:smallCaps w:val="0"/>
        <w:strike w:val="0"/>
        <w:shd w:val="clear" w:color="auto" w:fill="auto"/>
        <w:vertAlign w:val="baseline"/>
      </w:rPr>
    </w:lvl>
    <w:lvl w:ilvl="2">
      <w:start w:val="1"/>
      <w:numFmt w:val="upperLetter"/>
      <w:lvlText w:val="%3."/>
      <w:lvlJc w:val="left"/>
      <w:pPr>
        <w:ind w:left="510" w:hanging="340"/>
      </w:pPr>
      <w:rPr>
        <w:b/>
        <w:smallCaps w:val="0"/>
        <w:strike w:val="0"/>
        <w:shd w:val="clear" w:color="auto" w:fill="auto"/>
        <w:vertAlign w:val="baseline"/>
      </w:rPr>
    </w:lvl>
    <w:lvl w:ilvl="3">
      <w:start w:val="1"/>
      <w:numFmt w:val="decimal"/>
      <w:lvlText w:val="%4."/>
      <w:lvlJc w:val="left"/>
      <w:pPr>
        <w:ind w:left="680" w:hanging="340"/>
      </w:pPr>
      <w:rPr>
        <w:rFonts w:ascii="Times New Roman" w:eastAsia="Times New Roman" w:hAnsi="Times New Roman" w:cs="Times New Roman"/>
        <w:b w:val="0"/>
        <w:i/>
        <w:smallCaps w:val="0"/>
        <w:strike w:val="0"/>
        <w:shd w:val="clear" w:color="auto" w:fill="auto"/>
        <w:vertAlign w:val="baseline"/>
      </w:rPr>
    </w:lvl>
    <w:lvl w:ilvl="4">
      <w:start w:val="1"/>
      <w:numFmt w:val="lowerLetter"/>
      <w:lvlText w:val="(%5)"/>
      <w:lvlJc w:val="left"/>
      <w:pPr>
        <w:ind w:left="851" w:hanging="341"/>
      </w:pPr>
      <w:rPr>
        <w:b/>
        <w:smallCaps w:val="0"/>
        <w:strike w:val="0"/>
        <w:sz w:val="20"/>
        <w:szCs w:val="20"/>
        <w:shd w:val="clear" w:color="auto" w:fill="auto"/>
        <w:vertAlign w:val="baseline"/>
      </w:rPr>
    </w:lvl>
    <w:lvl w:ilvl="5">
      <w:start w:val="1"/>
      <w:numFmt w:val="lowerRoman"/>
      <w:lvlText w:val="(%6)"/>
      <w:lvlJc w:val="left"/>
      <w:pPr>
        <w:ind w:left="1021" w:hanging="341"/>
      </w:pPr>
      <w:rPr>
        <w:b/>
        <w:smallCaps w:val="0"/>
        <w:strike w:val="0"/>
        <w:shd w:val="clear" w:color="auto" w:fill="auto"/>
        <w:vertAlign w:val="baseline"/>
      </w:rPr>
    </w:lvl>
    <w:lvl w:ilvl="6">
      <w:start w:val="1"/>
      <w:numFmt w:val="decimal"/>
      <w:lvlText w:val="(%7)"/>
      <w:lvlJc w:val="left"/>
      <w:pPr>
        <w:ind w:left="1247" w:hanging="396"/>
      </w:pPr>
      <w:rPr>
        <w:b/>
        <w:smallCaps w:val="0"/>
        <w:strike w:val="0"/>
        <w:shd w:val="clear" w:color="auto" w:fill="auto"/>
        <w:vertAlign w:val="baseline"/>
      </w:rPr>
    </w:lvl>
    <w:lvl w:ilvl="7">
      <w:start w:val="1"/>
      <w:numFmt w:val="decimal"/>
      <w:lvlText w:val="(%8)"/>
      <w:lvlJc w:val="left"/>
      <w:pPr>
        <w:ind w:left="1389" w:hanging="395"/>
      </w:pPr>
      <w:rPr>
        <w:b/>
        <w:smallCaps w:val="0"/>
        <w:strike w:val="0"/>
        <w:shd w:val="clear" w:color="auto" w:fill="auto"/>
        <w:vertAlign w:val="baseline"/>
      </w:rPr>
    </w:lvl>
    <w:lvl w:ilvl="8">
      <w:start w:val="1"/>
      <w:numFmt w:val="decimal"/>
      <w:lvlText w:val="(%9)"/>
      <w:lvlJc w:val="left"/>
      <w:pPr>
        <w:ind w:left="1531" w:hanging="396"/>
      </w:pPr>
      <w:rPr>
        <w:b/>
        <w:smallCaps w:val="0"/>
        <w:strike w:val="0"/>
        <w:shd w:val="clear" w:color="auto" w:fill="auto"/>
        <w:vertAlign w:val="baseline"/>
      </w:rPr>
    </w:lvl>
  </w:abstractNum>
  <w:abstractNum w:abstractNumId="2" w15:restartNumberingAfterBreak="0">
    <w:nsid w:val="451861C2"/>
    <w:multiLevelType w:val="multilevel"/>
    <w:tmpl w:val="31FC1622"/>
    <w:lvl w:ilvl="0">
      <w:start w:val="1"/>
      <w:numFmt w:val="decimal"/>
      <w:lvlText w:val="%1."/>
      <w:lvlJc w:val="left"/>
      <w:pPr>
        <w:ind w:left="340" w:hanging="340"/>
      </w:pPr>
      <w:rPr>
        <w:smallCaps w:val="0"/>
        <w:strike w:val="0"/>
        <w:shd w:val="clear" w:color="auto" w:fill="auto"/>
        <w:vertAlign w:val="baseline"/>
      </w:rPr>
    </w:lvl>
    <w:lvl w:ilvl="1">
      <w:start w:val="1"/>
      <w:numFmt w:val="lowerLetter"/>
      <w:lvlText w:val="(%2)"/>
      <w:lvlJc w:val="left"/>
      <w:pPr>
        <w:ind w:left="680" w:hanging="340"/>
      </w:pPr>
      <w:rPr>
        <w:smallCaps w:val="0"/>
        <w:strike w:val="0"/>
        <w:shd w:val="clear" w:color="auto" w:fill="auto"/>
        <w:vertAlign w:val="baseline"/>
      </w:rPr>
    </w:lvl>
    <w:lvl w:ilvl="2">
      <w:start w:val="1"/>
      <w:numFmt w:val="lowerRoman"/>
      <w:lvlText w:val="(%3)"/>
      <w:lvlJc w:val="left"/>
      <w:pPr>
        <w:ind w:left="800" w:hanging="120"/>
      </w:pPr>
      <w:rPr>
        <w:smallCaps w:val="0"/>
        <w:strike w:val="0"/>
        <w:shd w:val="clear" w:color="auto" w:fill="auto"/>
        <w:vertAlign w:val="baseline"/>
      </w:rPr>
    </w:lvl>
    <w:lvl w:ilvl="3">
      <w:start w:val="1"/>
      <w:numFmt w:val="decimal"/>
      <w:lvlText w:val="(%4)"/>
      <w:lvlJc w:val="left"/>
      <w:pPr>
        <w:ind w:left="1440" w:hanging="360"/>
      </w:pPr>
      <w:rPr>
        <w:smallCaps w:val="0"/>
        <w:strike w:val="0"/>
        <w:shd w:val="clear" w:color="auto" w:fill="auto"/>
        <w:vertAlign w:val="baseline"/>
      </w:rPr>
    </w:lvl>
    <w:lvl w:ilvl="4">
      <w:start w:val="1"/>
      <w:numFmt w:val="lowerLetter"/>
      <w:lvlText w:val="(%5)"/>
      <w:lvlJc w:val="left"/>
      <w:pPr>
        <w:ind w:left="1800" w:hanging="360"/>
      </w:pPr>
      <w:rPr>
        <w:smallCaps w:val="0"/>
        <w:strike w:val="0"/>
        <w:shd w:val="clear" w:color="auto" w:fill="auto"/>
        <w:vertAlign w:val="baseline"/>
      </w:rPr>
    </w:lvl>
    <w:lvl w:ilvl="5">
      <w:start w:val="1"/>
      <w:numFmt w:val="lowerRoman"/>
      <w:lvlText w:val="(%6)"/>
      <w:lvlJc w:val="left"/>
      <w:pPr>
        <w:ind w:left="2160" w:hanging="360"/>
      </w:pPr>
      <w:rPr>
        <w:smallCaps w:val="0"/>
        <w:strike w:val="0"/>
        <w:shd w:val="clear" w:color="auto" w:fill="auto"/>
        <w:vertAlign w:val="baseline"/>
      </w:rPr>
    </w:lvl>
    <w:lvl w:ilvl="6">
      <w:start w:val="1"/>
      <w:numFmt w:val="decimal"/>
      <w:lvlText w:val="%7."/>
      <w:lvlJc w:val="left"/>
      <w:pPr>
        <w:ind w:left="2520" w:hanging="360"/>
      </w:pPr>
      <w:rPr>
        <w:smallCaps w:val="0"/>
        <w:strike w:val="0"/>
        <w:shd w:val="clear" w:color="auto" w:fill="auto"/>
        <w:vertAlign w:val="baseline"/>
      </w:rPr>
    </w:lvl>
    <w:lvl w:ilvl="7">
      <w:start w:val="1"/>
      <w:numFmt w:val="lowerLetter"/>
      <w:lvlText w:val="%8."/>
      <w:lvlJc w:val="left"/>
      <w:pPr>
        <w:ind w:left="2880" w:hanging="360"/>
      </w:pPr>
      <w:rPr>
        <w:smallCaps w:val="0"/>
        <w:strike w:val="0"/>
        <w:shd w:val="clear" w:color="auto" w:fill="auto"/>
        <w:vertAlign w:val="baseline"/>
      </w:rPr>
    </w:lvl>
    <w:lvl w:ilvl="8">
      <w:start w:val="1"/>
      <w:numFmt w:val="lowerRoman"/>
      <w:lvlText w:val="%9."/>
      <w:lvlJc w:val="left"/>
      <w:pPr>
        <w:ind w:left="3240" w:hanging="360"/>
      </w:pPr>
      <w:rPr>
        <w:smallCaps w:val="0"/>
        <w:strike w:val="0"/>
        <w:shd w:val="clear" w:color="auto" w:fill="auto"/>
        <w:vertAlign w:val="baseline"/>
      </w:rPr>
    </w:lvl>
  </w:abstractNum>
  <w:abstractNum w:abstractNumId="3" w15:restartNumberingAfterBreak="0">
    <w:nsid w:val="4A880F78"/>
    <w:multiLevelType w:val="multilevel"/>
    <w:tmpl w:val="3726257C"/>
    <w:lvl w:ilvl="0">
      <w:start w:val="1"/>
      <w:numFmt w:val="decimal"/>
      <w:lvlText w:val="%1."/>
      <w:lvlJc w:val="left"/>
      <w:pPr>
        <w:ind w:left="140" w:hanging="140"/>
      </w:pPr>
      <w:rPr>
        <w:smallCaps w:val="0"/>
        <w:strike w:val="0"/>
        <w:shd w:val="clear" w:color="auto" w:fill="auto"/>
        <w:vertAlign w:val="baseline"/>
      </w:rPr>
    </w:lvl>
    <w:lvl w:ilvl="1">
      <w:start w:val="1"/>
      <w:numFmt w:val="upperRoman"/>
      <w:lvlText w:val="%2."/>
      <w:lvlJc w:val="left"/>
      <w:pPr>
        <w:ind w:left="369" w:hanging="369"/>
      </w:pPr>
      <w:rPr>
        <w:smallCaps w:val="0"/>
        <w:strike w:val="0"/>
        <w:shd w:val="clear" w:color="auto" w:fill="auto"/>
        <w:vertAlign w:val="baseline"/>
      </w:rPr>
    </w:lvl>
    <w:lvl w:ilvl="2">
      <w:start w:val="1"/>
      <w:numFmt w:val="upperLetter"/>
      <w:lvlText w:val="%3."/>
      <w:lvlJc w:val="left"/>
      <w:pPr>
        <w:ind w:left="510" w:hanging="340"/>
      </w:pPr>
      <w:rPr>
        <w:b/>
        <w:smallCaps w:val="0"/>
        <w:strike w:val="0"/>
        <w:shd w:val="clear" w:color="auto" w:fill="auto"/>
        <w:vertAlign w:val="baseline"/>
      </w:rPr>
    </w:lvl>
    <w:lvl w:ilvl="3">
      <w:start w:val="1"/>
      <w:numFmt w:val="decimal"/>
      <w:lvlText w:val="%4."/>
      <w:lvlJc w:val="left"/>
      <w:pPr>
        <w:ind w:left="680" w:hanging="340"/>
      </w:pPr>
      <w:rPr>
        <w:b/>
        <w:smallCaps w:val="0"/>
        <w:strike w:val="0"/>
        <w:shd w:val="clear" w:color="auto" w:fill="auto"/>
        <w:vertAlign w:val="baseline"/>
      </w:rPr>
    </w:lvl>
    <w:lvl w:ilvl="4">
      <w:start w:val="1"/>
      <w:numFmt w:val="lowerLetter"/>
      <w:lvlText w:val="(%5)"/>
      <w:lvlJc w:val="left"/>
      <w:pPr>
        <w:ind w:left="851" w:hanging="341"/>
      </w:pPr>
      <w:rPr>
        <w:b/>
        <w:smallCaps w:val="0"/>
        <w:strike w:val="0"/>
        <w:sz w:val="20"/>
        <w:szCs w:val="20"/>
        <w:shd w:val="clear" w:color="auto" w:fill="auto"/>
        <w:vertAlign w:val="baseline"/>
      </w:rPr>
    </w:lvl>
    <w:lvl w:ilvl="5">
      <w:start w:val="1"/>
      <w:numFmt w:val="lowerRoman"/>
      <w:lvlText w:val="(%6)"/>
      <w:lvlJc w:val="left"/>
      <w:pPr>
        <w:ind w:left="1021" w:hanging="341"/>
      </w:pPr>
      <w:rPr>
        <w:b/>
        <w:smallCaps w:val="0"/>
        <w:strike w:val="0"/>
        <w:shd w:val="clear" w:color="auto" w:fill="auto"/>
        <w:vertAlign w:val="baseline"/>
      </w:rPr>
    </w:lvl>
    <w:lvl w:ilvl="6">
      <w:start w:val="1"/>
      <w:numFmt w:val="decimal"/>
      <w:lvlText w:val="(%7)"/>
      <w:lvlJc w:val="left"/>
      <w:pPr>
        <w:ind w:left="1247" w:hanging="396"/>
      </w:pPr>
      <w:rPr>
        <w:b/>
        <w:smallCaps w:val="0"/>
        <w:strike w:val="0"/>
        <w:shd w:val="clear" w:color="auto" w:fill="auto"/>
        <w:vertAlign w:val="baseline"/>
      </w:rPr>
    </w:lvl>
    <w:lvl w:ilvl="7">
      <w:start w:val="1"/>
      <w:numFmt w:val="decimal"/>
      <w:lvlText w:val="(%8)"/>
      <w:lvlJc w:val="left"/>
      <w:pPr>
        <w:ind w:left="1389" w:hanging="395"/>
      </w:pPr>
      <w:rPr>
        <w:b/>
        <w:smallCaps w:val="0"/>
        <w:strike w:val="0"/>
        <w:shd w:val="clear" w:color="auto" w:fill="auto"/>
        <w:vertAlign w:val="baseline"/>
      </w:rPr>
    </w:lvl>
    <w:lvl w:ilvl="8">
      <w:start w:val="1"/>
      <w:numFmt w:val="decimal"/>
      <w:lvlText w:val="(%9)"/>
      <w:lvlJc w:val="left"/>
      <w:pPr>
        <w:ind w:left="1531" w:hanging="396"/>
      </w:pPr>
      <w:rPr>
        <w:b/>
        <w:smallCaps w:val="0"/>
        <w:strike w:val="0"/>
        <w:shd w:val="clear" w:color="auto" w:fill="auto"/>
        <w:vertAlign w:val="baseline"/>
      </w:rPr>
    </w:lvl>
  </w:abstractNum>
  <w:abstractNum w:abstractNumId="4" w15:restartNumberingAfterBreak="0">
    <w:nsid w:val="534413BA"/>
    <w:multiLevelType w:val="multilevel"/>
    <w:tmpl w:val="066844B6"/>
    <w:lvl w:ilvl="0">
      <w:start w:val="1"/>
      <w:numFmt w:val="decimal"/>
      <w:lvlText w:val="%1."/>
      <w:lvlJc w:val="left"/>
      <w:pPr>
        <w:ind w:left="340" w:hanging="340"/>
      </w:pPr>
      <w:rPr>
        <w:smallCaps w:val="0"/>
        <w:strike w:val="0"/>
        <w:shd w:val="clear" w:color="auto" w:fill="auto"/>
        <w:vertAlign w:val="baseline"/>
      </w:rPr>
    </w:lvl>
    <w:lvl w:ilvl="1">
      <w:start w:val="1"/>
      <w:numFmt w:val="lowerLetter"/>
      <w:lvlText w:val="(%2)"/>
      <w:lvlJc w:val="left"/>
      <w:pPr>
        <w:ind w:left="340" w:hanging="340"/>
      </w:pPr>
      <w:rPr>
        <w:smallCaps w:val="0"/>
        <w:strike w:val="0"/>
        <w:shd w:val="clear" w:color="auto" w:fill="auto"/>
        <w:vertAlign w:val="baseline"/>
      </w:rPr>
    </w:lvl>
    <w:lvl w:ilvl="2">
      <w:start w:val="1"/>
      <w:numFmt w:val="lowerRoman"/>
      <w:lvlText w:val="(%3)"/>
      <w:lvlJc w:val="left"/>
      <w:pPr>
        <w:ind w:left="681" w:hanging="120"/>
      </w:pPr>
      <w:rPr>
        <w:smallCaps w:val="0"/>
        <w:strike w:val="0"/>
        <w:shd w:val="clear" w:color="auto" w:fill="auto"/>
        <w:vertAlign w:val="baseline"/>
      </w:rPr>
    </w:lvl>
    <w:lvl w:ilvl="3">
      <w:start w:val="1"/>
      <w:numFmt w:val="decimal"/>
      <w:lvlText w:val="(%4)"/>
      <w:lvlJc w:val="left"/>
      <w:pPr>
        <w:ind w:left="1100" w:hanging="360"/>
      </w:pPr>
      <w:rPr>
        <w:smallCaps w:val="0"/>
        <w:strike w:val="0"/>
        <w:shd w:val="clear" w:color="auto" w:fill="auto"/>
        <w:vertAlign w:val="baseline"/>
      </w:rPr>
    </w:lvl>
    <w:lvl w:ilvl="4">
      <w:start w:val="1"/>
      <w:numFmt w:val="lowerLetter"/>
      <w:lvlText w:val="(%5)"/>
      <w:lvlJc w:val="left"/>
      <w:pPr>
        <w:ind w:left="1460" w:hanging="720"/>
      </w:pPr>
      <w:rPr>
        <w:smallCaps w:val="0"/>
        <w:strike w:val="0"/>
        <w:shd w:val="clear" w:color="auto" w:fill="auto"/>
        <w:vertAlign w:val="baseline"/>
      </w:rPr>
    </w:lvl>
    <w:lvl w:ilvl="5">
      <w:start w:val="1"/>
      <w:numFmt w:val="lowerRoman"/>
      <w:lvlText w:val="(%6)"/>
      <w:lvlJc w:val="left"/>
      <w:pPr>
        <w:ind w:left="1820" w:hanging="360"/>
      </w:pPr>
      <w:rPr>
        <w:smallCaps w:val="0"/>
        <w:strike w:val="0"/>
        <w:shd w:val="clear" w:color="auto" w:fill="auto"/>
        <w:vertAlign w:val="baseline"/>
      </w:rPr>
    </w:lvl>
    <w:lvl w:ilvl="6">
      <w:start w:val="1"/>
      <w:numFmt w:val="decimal"/>
      <w:lvlText w:val="%7."/>
      <w:lvlJc w:val="left"/>
      <w:pPr>
        <w:ind w:left="2180" w:hanging="720"/>
      </w:pPr>
      <w:rPr>
        <w:smallCaps w:val="0"/>
        <w:strike w:val="0"/>
        <w:shd w:val="clear" w:color="auto" w:fill="auto"/>
        <w:vertAlign w:val="baseline"/>
      </w:rPr>
    </w:lvl>
    <w:lvl w:ilvl="7">
      <w:start w:val="1"/>
      <w:numFmt w:val="lowerLetter"/>
      <w:lvlText w:val="%8."/>
      <w:lvlJc w:val="left"/>
      <w:pPr>
        <w:ind w:left="2540" w:hanging="360"/>
      </w:pPr>
      <w:rPr>
        <w:smallCaps w:val="0"/>
        <w:strike w:val="0"/>
        <w:shd w:val="clear" w:color="auto" w:fill="auto"/>
        <w:vertAlign w:val="baseline"/>
      </w:rPr>
    </w:lvl>
    <w:lvl w:ilvl="8">
      <w:start w:val="1"/>
      <w:numFmt w:val="lowerRoman"/>
      <w:lvlText w:val="%9."/>
      <w:lvlJc w:val="left"/>
      <w:pPr>
        <w:ind w:left="2900" w:hanging="720"/>
      </w:pPr>
      <w:rPr>
        <w:smallCaps w:val="0"/>
        <w:strike w:val="0"/>
        <w:shd w:val="clear" w:color="auto" w:fill="auto"/>
        <w:vertAlign w:val="baseline"/>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A26"/>
    <w:rsid w:val="000502C6"/>
    <w:rsid w:val="0017779D"/>
    <w:rsid w:val="001E7AD8"/>
    <w:rsid w:val="001F3ADC"/>
    <w:rsid w:val="00237B28"/>
    <w:rsid w:val="0024027E"/>
    <w:rsid w:val="002D76FD"/>
    <w:rsid w:val="00380A26"/>
    <w:rsid w:val="00413548"/>
    <w:rsid w:val="00494CB5"/>
    <w:rsid w:val="005637D7"/>
    <w:rsid w:val="0059142E"/>
    <w:rsid w:val="005C072E"/>
    <w:rsid w:val="005E387D"/>
    <w:rsid w:val="006D338C"/>
    <w:rsid w:val="006E51A1"/>
    <w:rsid w:val="00730CCC"/>
    <w:rsid w:val="00A806AF"/>
    <w:rsid w:val="00BD62EE"/>
    <w:rsid w:val="00D85D13"/>
    <w:rsid w:val="00DA2935"/>
    <w:rsid w:val="00DF2987"/>
    <w:rsid w:val="00E32BE0"/>
    <w:rsid w:val="00E33812"/>
    <w:rsid w:val="00EF6F58"/>
    <w:rsid w:val="00F179FB"/>
    <w:rsid w:val="00F609C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1DE17"/>
  <w15:docId w15:val="{84C50678-A311-420C-9935-4773BC642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lang w:eastAsia="en-US"/>
    </w:rPr>
  </w:style>
  <w:style w:type="paragraph" w:styleId="Balk1">
    <w:name w:val="heading 1"/>
    <w:basedOn w:val="Normal"/>
    <w:next w:val="Normal"/>
    <w:pPr>
      <w:keepNext/>
      <w:keepLines/>
      <w:spacing w:before="480" w:after="120"/>
      <w:outlineLvl w:val="0"/>
    </w:pPr>
    <w:rPr>
      <w:b/>
      <w:sz w:val="48"/>
      <w:szCs w:val="48"/>
    </w:rPr>
  </w:style>
  <w:style w:type="paragraph" w:styleId="Balk2">
    <w:name w:val="heading 2"/>
    <w:basedOn w:val="Normal"/>
    <w:next w:val="Normal"/>
    <w:pPr>
      <w:keepNext/>
      <w:keepLines/>
      <w:spacing w:before="360" w:after="80"/>
      <w:outlineLvl w:val="1"/>
    </w:pPr>
    <w:rPr>
      <w:b/>
      <w:sz w:val="36"/>
      <w:szCs w:val="36"/>
    </w:rPr>
  </w:style>
  <w:style w:type="paragraph" w:styleId="Balk3">
    <w:name w:val="heading 3"/>
    <w:basedOn w:val="Normal"/>
    <w:next w:val="Normal"/>
    <w:pPr>
      <w:keepNext/>
      <w:keepLines/>
      <w:spacing w:before="280" w:after="80"/>
      <w:outlineLvl w:val="2"/>
    </w:pPr>
    <w:rPr>
      <w:b/>
      <w:sz w:val="28"/>
      <w:szCs w:val="28"/>
    </w:rPr>
  </w:style>
  <w:style w:type="paragraph" w:styleId="Balk4">
    <w:name w:val="heading 4"/>
    <w:basedOn w:val="Normal"/>
    <w:next w:val="Normal"/>
    <w:pPr>
      <w:keepNext/>
      <w:keepLines/>
      <w:spacing w:before="240" w:after="40"/>
      <w:outlineLvl w:val="3"/>
    </w:pPr>
    <w:rPr>
      <w:b/>
    </w:rPr>
  </w:style>
  <w:style w:type="paragraph" w:styleId="Balk5">
    <w:name w:val="heading 5"/>
    <w:basedOn w:val="Normal"/>
    <w:next w:val="Normal"/>
    <w:pPr>
      <w:keepNext/>
      <w:keepLines/>
      <w:spacing w:before="220" w:after="40"/>
      <w:outlineLvl w:val="4"/>
    </w:pPr>
    <w:rPr>
      <w:b/>
      <w:sz w:val="22"/>
      <w:szCs w:val="22"/>
    </w:rPr>
  </w:style>
  <w:style w:type="paragraph" w:styleId="Balk6">
    <w:name w:val="heading 6"/>
    <w:basedOn w:val="Normal"/>
    <w:next w:val="Normal"/>
    <w:pPr>
      <w:keepNext/>
      <w:keepLines/>
      <w:spacing w:before="200" w:after="40"/>
      <w:outlineLvl w:val="5"/>
    </w:pPr>
    <w:rPr>
      <w:b/>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before="480" w:after="120"/>
    </w:pPr>
    <w:rPr>
      <w:b/>
      <w:sz w:val="72"/>
      <w:szCs w:val="72"/>
    </w:rPr>
  </w:style>
  <w:style w:type="character" w:styleId="Kpr">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Gvde">
    <w:name w:val="Gövde"/>
    <w:rPr>
      <w:rFonts w:eastAsia="Arial Unicode MS" w:cs="Arial Unicode MS"/>
      <w:color w:val="000000"/>
      <w:u w:color="000000"/>
      <w14:textOutline w14:w="0" w14:cap="flat" w14:cmpd="sng" w14:algn="ctr">
        <w14:noFill/>
        <w14:prstDash w14:val="solid"/>
        <w14:bevel/>
      </w14:textOutline>
    </w:rPr>
  </w:style>
  <w:style w:type="paragraph" w:customStyle="1" w:styleId="DecHCase">
    <w:name w:val="Dec_H_Case"/>
    <w:next w:val="JuPara"/>
    <w:pPr>
      <w:keepNext/>
      <w:keepLines/>
      <w:spacing w:after="280"/>
      <w:jc w:val="center"/>
    </w:pPr>
    <w:rPr>
      <w:rFonts w:eastAsia="Arial Unicode MS" w:cs="Arial Unicode MS"/>
      <w:color w:val="000000"/>
      <w:u w:color="000000"/>
    </w:rPr>
  </w:style>
  <w:style w:type="paragraph" w:customStyle="1" w:styleId="JuPara">
    <w:name w:val="Ju_Para"/>
    <w:pPr>
      <w:ind w:firstLine="284"/>
      <w:jc w:val="both"/>
    </w:pPr>
    <w:rPr>
      <w:rFonts w:eastAsia="Arial Unicode MS" w:cs="Arial Unicode MS"/>
      <w:color w:val="000000"/>
      <w:u w:color="000000"/>
    </w:rPr>
  </w:style>
  <w:style w:type="paragraph" w:customStyle="1" w:styleId="JuTitle">
    <w:name w:val="Ju_Title"/>
    <w:next w:val="JuPara"/>
    <w:pPr>
      <w:keepNext/>
      <w:keepLines/>
      <w:spacing w:before="1320" w:after="280"/>
      <w:jc w:val="center"/>
    </w:pPr>
    <w:rPr>
      <w:b/>
      <w:bCs/>
      <w:color w:val="000000"/>
      <w:u w:color="000000"/>
    </w:rPr>
  </w:style>
  <w:style w:type="paragraph" w:customStyle="1" w:styleId="ECHRCoverTitle4">
    <w:name w:val="ECHR_Cover_Title_4"/>
    <w:next w:val="JuPara"/>
    <w:pPr>
      <w:keepNext/>
      <w:keepLines/>
      <w:tabs>
        <w:tab w:val="right" w:pos="7938"/>
      </w:tabs>
      <w:jc w:val="center"/>
    </w:pPr>
    <w:rPr>
      <w:rFonts w:eastAsia="Arial Unicode MS" w:cs="Arial Unicode MS"/>
      <w:i/>
      <w:iCs/>
      <w:color w:val="000000"/>
      <w:u w:color="000000"/>
    </w:rPr>
  </w:style>
  <w:style w:type="paragraph" w:customStyle="1" w:styleId="JuHeader">
    <w:name w:val="Ju_Header"/>
    <w:pPr>
      <w:jc w:val="center"/>
    </w:pPr>
    <w:rPr>
      <w:rFonts w:eastAsia="Arial Unicode MS" w:cs="Arial Unicode MS"/>
      <w:color w:val="000000"/>
      <w:sz w:val="18"/>
      <w:szCs w:val="18"/>
      <w:u w:color="000000"/>
    </w:rPr>
  </w:style>
  <w:style w:type="paragraph" w:customStyle="1" w:styleId="JuCase">
    <w:name w:val="Ju_Case"/>
    <w:next w:val="JuPara"/>
    <w:pPr>
      <w:ind w:firstLine="284"/>
      <w:jc w:val="both"/>
    </w:pPr>
    <w:rPr>
      <w:rFonts w:eastAsia="Arial Unicode MS" w:cs="Arial Unicode MS"/>
      <w:b/>
      <w:bCs/>
      <w:color w:val="000000"/>
      <w:u w:color="000000"/>
    </w:rPr>
  </w:style>
  <w:style w:type="paragraph" w:customStyle="1" w:styleId="JuJudges">
    <w:name w:val="Ju_Judges"/>
    <w:pPr>
      <w:tabs>
        <w:tab w:val="left" w:pos="567"/>
        <w:tab w:val="left" w:pos="1134"/>
      </w:tabs>
    </w:pPr>
    <w:rPr>
      <w:color w:val="000000"/>
      <w:u w:color="000000"/>
    </w:rPr>
  </w:style>
  <w:style w:type="paragraph" w:customStyle="1" w:styleId="JuHHead">
    <w:name w:val="Ju_H_Head"/>
    <w:next w:val="JuPara"/>
    <w:pPr>
      <w:keepNext/>
      <w:keepLines/>
      <w:spacing w:before="100" w:after="240"/>
      <w:jc w:val="both"/>
      <w:outlineLvl w:val="0"/>
    </w:pPr>
    <w:rPr>
      <w:rFonts w:eastAsia="Arial Unicode MS" w:cs="Arial Unicode MS"/>
      <w:caps/>
      <w:color w:val="000000"/>
      <w:sz w:val="28"/>
      <w:szCs w:val="28"/>
      <w:u w:color="000000"/>
    </w:rPr>
  </w:style>
  <w:style w:type="paragraph" w:customStyle="1" w:styleId="JuParaLast">
    <w:name w:val="Ju_Para_Last"/>
    <w:pPr>
      <w:keepNext/>
      <w:keepLines/>
      <w:spacing w:before="240" w:after="240"/>
      <w:ind w:firstLine="284"/>
      <w:jc w:val="both"/>
    </w:pPr>
    <w:rPr>
      <w:rFonts w:eastAsia="Arial Unicode MS" w:cs="Arial Unicode MS"/>
      <w:color w:val="000000"/>
      <w:u w:color="000000"/>
    </w:rPr>
  </w:style>
  <w:style w:type="numbering" w:customStyle="1" w:styleId="eAktarlan1Stili">
    <w:name w:val="İçe Aktarılan 1 Stili"/>
  </w:style>
  <w:style w:type="paragraph" w:customStyle="1" w:styleId="JuHIRoman">
    <w:name w:val="Ju_H_I_Roman"/>
    <w:next w:val="JuPara"/>
    <w:pPr>
      <w:keepNext/>
      <w:keepLines/>
      <w:tabs>
        <w:tab w:val="left" w:pos="454"/>
        <w:tab w:val="left" w:pos="539"/>
        <w:tab w:val="left" w:pos="624"/>
        <w:tab w:val="left" w:pos="709"/>
        <w:tab w:val="left" w:pos="794"/>
      </w:tabs>
      <w:spacing w:before="100" w:after="240"/>
      <w:jc w:val="both"/>
      <w:outlineLvl w:val="1"/>
    </w:pPr>
    <w:rPr>
      <w:rFonts w:eastAsia="Arial Unicode MS" w:cs="Arial Unicode MS"/>
      <w:caps/>
      <w:color w:val="000000"/>
      <w:u w:color="000000"/>
    </w:rPr>
  </w:style>
  <w:style w:type="paragraph" w:customStyle="1" w:styleId="JuHA">
    <w:name w:val="Ju_H_A"/>
    <w:next w:val="JuPara"/>
    <w:pPr>
      <w:keepNext/>
      <w:keepLines/>
      <w:spacing w:before="100" w:after="240"/>
      <w:jc w:val="both"/>
      <w:outlineLvl w:val="2"/>
    </w:pPr>
    <w:rPr>
      <w:rFonts w:eastAsia="Arial Unicode MS" w:cs="Arial Unicode MS"/>
      <w:b/>
      <w:bCs/>
      <w:color w:val="000000"/>
      <w:u w:color="000000"/>
    </w:rPr>
  </w:style>
  <w:style w:type="paragraph" w:customStyle="1" w:styleId="JuH1">
    <w:name w:val="Ju_H_1."/>
    <w:next w:val="JuPara"/>
    <w:pPr>
      <w:keepNext/>
      <w:keepLines/>
      <w:spacing w:before="100" w:after="120"/>
      <w:jc w:val="both"/>
      <w:outlineLvl w:val="2"/>
    </w:pPr>
    <w:rPr>
      <w:rFonts w:eastAsia="Arial Unicode MS" w:cs="Arial Unicode MS"/>
      <w:i/>
      <w:iCs/>
      <w:color w:val="000000"/>
      <w:u w:color="000000"/>
    </w:rPr>
  </w:style>
  <w:style w:type="character" w:customStyle="1" w:styleId="Yok">
    <w:name w:val="Yok"/>
  </w:style>
  <w:style w:type="character" w:customStyle="1" w:styleId="Hyperlink0">
    <w:name w:val="Hyperlink.0"/>
    <w:basedOn w:val="Yok"/>
  </w:style>
  <w:style w:type="character" w:customStyle="1" w:styleId="Hyperlink1">
    <w:name w:val="Hyperlink.1"/>
    <w:basedOn w:val="Yok"/>
    <w:rPr>
      <w:lang w:val="en-US"/>
    </w:rPr>
  </w:style>
  <w:style w:type="paragraph" w:customStyle="1" w:styleId="JuQuot">
    <w:name w:val="Ju_Quot"/>
    <w:pPr>
      <w:spacing w:before="120" w:after="120"/>
      <w:ind w:left="425" w:firstLine="142"/>
      <w:jc w:val="both"/>
    </w:pPr>
    <w:rPr>
      <w:rFonts w:eastAsia="Arial Unicode MS" w:cs="Arial Unicode MS"/>
      <w:color w:val="000000"/>
      <w:sz w:val="20"/>
      <w:szCs w:val="20"/>
      <w:u w:color="000000"/>
    </w:rPr>
  </w:style>
  <w:style w:type="paragraph" w:customStyle="1" w:styleId="JuHArticle">
    <w:name w:val="Ju_H_Article"/>
    <w:next w:val="JuQuot"/>
    <w:pPr>
      <w:keepNext/>
      <w:spacing w:before="100" w:after="120"/>
      <w:jc w:val="center"/>
    </w:pPr>
    <w:rPr>
      <w:rFonts w:eastAsia="Arial Unicode MS" w:cs="Arial Unicode MS"/>
      <w:b/>
      <w:bCs/>
      <w:color w:val="000000"/>
      <w:sz w:val="20"/>
      <w:szCs w:val="20"/>
      <w:u w:color="000000"/>
    </w:rPr>
  </w:style>
  <w:style w:type="paragraph" w:customStyle="1" w:styleId="JuHa0">
    <w:name w:val="Ju_H_a"/>
    <w:next w:val="JuPara"/>
    <w:pPr>
      <w:keepNext/>
      <w:keepLines/>
      <w:spacing w:before="100" w:after="120"/>
      <w:jc w:val="both"/>
      <w:outlineLvl w:val="2"/>
    </w:pPr>
    <w:rPr>
      <w:rFonts w:eastAsia="Arial Unicode MS" w:cs="Arial Unicode MS"/>
      <w:b/>
      <w:bCs/>
      <w:color w:val="000000"/>
      <w:sz w:val="20"/>
      <w:szCs w:val="20"/>
      <w:u w:color="000000"/>
    </w:rPr>
  </w:style>
  <w:style w:type="paragraph" w:styleId="DipnotMetni">
    <w:name w:val="footnote text"/>
    <w:rPr>
      <w:color w:val="000000"/>
      <w:sz w:val="20"/>
      <w:szCs w:val="20"/>
      <w:u w:color="000000"/>
    </w:rPr>
  </w:style>
  <w:style w:type="paragraph" w:customStyle="1" w:styleId="JuList">
    <w:name w:val="Ju_List"/>
    <w:pPr>
      <w:tabs>
        <w:tab w:val="left" w:pos="340"/>
      </w:tabs>
      <w:spacing w:before="280" w:after="60"/>
      <w:jc w:val="both"/>
    </w:pPr>
    <w:rPr>
      <w:rFonts w:eastAsia="Arial Unicode MS" w:cs="Arial Unicode MS"/>
      <w:color w:val="000000"/>
      <w:u w:color="000000"/>
    </w:rPr>
  </w:style>
  <w:style w:type="numbering" w:customStyle="1" w:styleId="ECHRA1StyleList">
    <w:name w:val="ECHR_A1_Style_List"/>
  </w:style>
  <w:style w:type="paragraph" w:customStyle="1" w:styleId="JuLista">
    <w:name w:val="Ju_List_a"/>
    <w:pPr>
      <w:tabs>
        <w:tab w:val="left" w:pos="680"/>
      </w:tabs>
      <w:jc w:val="both"/>
    </w:pPr>
    <w:rPr>
      <w:rFonts w:eastAsia="Arial Unicode MS" w:cs="Arial Unicode MS"/>
      <w:color w:val="000000"/>
      <w:u w:color="000000"/>
    </w:rPr>
  </w:style>
  <w:style w:type="paragraph" w:customStyle="1" w:styleId="JuSigned">
    <w:name w:val="Ju_Signed"/>
    <w:next w:val="JuPara"/>
    <w:pPr>
      <w:tabs>
        <w:tab w:val="center" w:pos="1418"/>
        <w:tab w:val="center" w:pos="5954"/>
      </w:tabs>
      <w:spacing w:before="720"/>
    </w:pPr>
    <w:rPr>
      <w:color w:val="000000"/>
      <w:u w:color="000000"/>
    </w:rPr>
  </w:style>
  <w:style w:type="paragraph" w:customStyle="1" w:styleId="JuInitialled">
    <w:name w:val="Ju_Initialled"/>
    <w:pPr>
      <w:tabs>
        <w:tab w:val="center" w:pos="6407"/>
      </w:tabs>
      <w:spacing w:before="720"/>
      <w:jc w:val="right"/>
    </w:pPr>
    <w:rPr>
      <w:rFonts w:eastAsia="Arial Unicode MS" w:cs="Arial Unicode MS"/>
      <w:color w:val="000000"/>
      <w:u w:color="000000"/>
    </w:rPr>
  </w:style>
  <w:style w:type="paragraph" w:customStyle="1" w:styleId="DecHTitle">
    <w:name w:val="Dec_H_Title"/>
    <w:next w:val="JuPara"/>
    <w:pPr>
      <w:keepNext/>
      <w:keepLines/>
      <w:spacing w:after="240"/>
      <w:jc w:val="center"/>
      <w:outlineLvl w:val="0"/>
    </w:pPr>
    <w:rPr>
      <w:rFonts w:eastAsia="Arial Unicode MS" w:cs="Arial Unicode MS"/>
      <w:color w:val="000000"/>
      <w:sz w:val="28"/>
      <w:szCs w:val="28"/>
      <w:u w:color="000000"/>
    </w:rPr>
  </w:style>
  <w:style w:type="paragraph" w:styleId="Altyaz">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Theme_Judgments_Decisions_Reports">
      <a:dk1>
        <a:srgbClr val="000000"/>
      </a:dk1>
      <a:lt1>
        <a:srgbClr val="FFFFFF"/>
      </a:lt1>
      <a:dk2>
        <a:srgbClr val="A7A7A7"/>
      </a:dk2>
      <a:lt2>
        <a:srgbClr val="535353"/>
      </a:lt2>
      <a:accent1>
        <a:srgbClr val="0072BC"/>
      </a:accent1>
      <a:accent2>
        <a:srgbClr val="C00000"/>
      </a:accent2>
      <a:accent3>
        <a:srgbClr val="5F5F5F"/>
      </a:accent3>
      <a:accent4>
        <a:srgbClr val="969696"/>
      </a:accent4>
      <a:accent5>
        <a:srgbClr val="353535"/>
      </a:accent5>
      <a:accent6>
        <a:srgbClr val="4D4D4D"/>
      </a:accent6>
      <a:hlink>
        <a:srgbClr val="0000FF"/>
      </a:hlink>
      <a:folHlink>
        <a:srgbClr val="FF00FF"/>
      </a:folHlink>
    </a:clrScheme>
    <a:fontScheme name="ECHR_Theme_Judgments_Decisions_Reports">
      <a:majorFont>
        <a:latin typeface="Helvetica Neue"/>
        <a:ea typeface="Helvetica Neue"/>
        <a:cs typeface="Helvetica Neue"/>
      </a:majorFont>
      <a:minorFont>
        <a:latin typeface="Helvetica Neue"/>
        <a:ea typeface="Helvetica Neue"/>
        <a:cs typeface="Helvetica Neue"/>
      </a:minorFont>
    </a:fontScheme>
    <a:fmtScheme name="ECHR_Theme_Judgments_Decisions_Report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Ph3ihhHvNH0QThKdmE4OoL+FcA==">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46</Pages>
  <Words>17913</Words>
  <Characters>102109</Characters>
  <Application>Microsoft Office Word</Application>
  <DocSecurity>0</DocSecurity>
  <Lines>850</Lines>
  <Paragraphs>239</Paragraphs>
  <ScaleCrop>false</ScaleCrop>
  <HeadingPairs>
    <vt:vector size="2" baseType="variant">
      <vt:variant>
        <vt:lpstr>Konu Başlığı</vt:lpstr>
      </vt:variant>
      <vt:variant>
        <vt:i4>1</vt:i4>
      </vt:variant>
    </vt:vector>
  </HeadingPairs>
  <TitlesOfParts>
    <vt:vector size="1" baseType="lpstr">
      <vt:lpstr/>
    </vt:vector>
  </TitlesOfParts>
  <Company>Microsoft</Company>
  <LinksUpToDate>false</LinksUpToDate>
  <CharactersWithSpaces>119783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Benan</cp:lastModifiedBy>
  <cp:revision>5</cp:revision>
  <dcterms:created xsi:type="dcterms:W3CDTF">2021-11-29T08:08:00Z</dcterms:created>
  <dcterms:modified xsi:type="dcterms:W3CDTF">2021-11-29T09:07:00Z</dcterms:modified>
</cp:coreProperties>
</file>